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800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bookmarkStart w:id="10" w:name="_GoBack"/>
      <w:bookmarkEnd w:id="10"/>
    </w:p>
    <w:p w14:paraId="4CF525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p>
    <w:p w14:paraId="30B18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郯城县人民政府</w:t>
      </w:r>
    </w:p>
    <w:p w14:paraId="68719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2024年政府信息公开工作年度报告</w:t>
      </w:r>
    </w:p>
    <w:p w14:paraId="5AC1C2F3">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0B8666C1">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29464D11">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0BF9EAE9">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02DC897F">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18A10806">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10A54581">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6A87D550">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4A404107">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538A8A01">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2ADD34CE">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7406B4B6">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6C00B210">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14:paraId="7C0EDA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pacing w:val="34"/>
          <w:sz w:val="44"/>
          <w:szCs w:val="44"/>
          <w:lang w:val="en-US" w:eastAsia="zh-CN"/>
        </w:rPr>
      </w:pPr>
      <w:r>
        <w:rPr>
          <w:rFonts w:hint="eastAsia" w:ascii="楷体_GB2312" w:hAnsi="楷体_GB2312" w:eastAsia="楷体_GB2312" w:cs="楷体_GB2312"/>
          <w:spacing w:val="34"/>
          <w:sz w:val="44"/>
          <w:szCs w:val="44"/>
          <w:lang w:val="en-US" w:eastAsia="zh-CN"/>
        </w:rPr>
        <w:t>郯城县人民政府</w:t>
      </w:r>
    </w:p>
    <w:p w14:paraId="54E984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二○二五年二月</w:t>
      </w:r>
    </w:p>
    <w:p w14:paraId="2E39CA58">
      <w:pPr>
        <w:rPr>
          <w:rFonts w:hint="eastAsia" w:ascii="Times New Roman" w:hAnsi="Times New Roman" w:eastAsia="方正小标宋简体" w:cs="Times New Roman"/>
          <w:sz w:val="44"/>
          <w:szCs w:val="44"/>
          <w:lang w:val="en-US" w:eastAsia="zh-CN"/>
        </w:rPr>
      </w:pPr>
    </w:p>
    <w:p w14:paraId="6299452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本年度报告根据《中华人民共和国政府信息公开条例》和《国务院办公厅政府信息与政务公开办公室</w:t>
      </w:r>
      <w:r>
        <w:rPr>
          <w:rFonts w:hint="eastAsia" w:ascii="Times New Roman" w:hAnsi="Times New Roman" w:eastAsia="仿宋_GB2312" w:cs="Times New Roman"/>
          <w:sz w:val="32"/>
          <w:szCs w:val="32"/>
          <w:lang w:val="en-US" w:eastAsia="zh-CN"/>
        </w:rPr>
        <w:t>关于印发〈</w:t>
      </w:r>
      <w:r>
        <w:rPr>
          <w:rFonts w:hint="default" w:ascii="Times New Roman" w:hAnsi="Times New Roman" w:eastAsia="仿宋_GB2312" w:cs="Times New Roman"/>
          <w:sz w:val="32"/>
          <w:szCs w:val="32"/>
          <w:lang w:val="en-US" w:eastAsia="zh-CN"/>
        </w:rPr>
        <w:t>中华人民共和国政府信息公开工作年度报告格式</w:t>
      </w:r>
      <w:r>
        <w:rPr>
          <w:rFonts w:hint="eastAsia"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lang w:val="en-US" w:eastAsia="zh-CN"/>
        </w:rPr>
        <w:t>（国办公开办函〔2021〕30号）相关要求编制，内容包括总体情况、主动公开政府信息情况、收到和处理政府信息公开申请情况、政府信息公开行政复议和行政诉讼情况、存在的主要问题及改进情况、其他需要报告的事项。</w:t>
      </w:r>
    </w:p>
    <w:p w14:paraId="7D14113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仿宋_GB2312" w:cs="Times New Roman"/>
          <w:sz w:val="32"/>
          <w:szCs w:val="32"/>
          <w:lang w:val="en-US" w:eastAsia="zh-CN"/>
        </w:rPr>
        <w:t>本年度报告中所列数据统计期限从202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年1月1日到12月31日止。本年度报告电子版可从郯城县人民政府门户网站（</w:t>
      </w:r>
      <w:r>
        <w:rPr>
          <w:rFonts w:hint="eastAsia" w:ascii="Times New Roman" w:hAnsi="Times New Roman" w:eastAsia="仿宋_GB2312" w:cs="Times New Roman"/>
          <w:sz w:val="32"/>
          <w:szCs w:val="32"/>
          <w:lang w:val="en-US" w:eastAsia="zh-CN"/>
        </w:rPr>
        <w:t>http:</w:t>
      </w:r>
      <w:r>
        <w:rPr>
          <w:rFonts w:hint="default" w:ascii="Times New Roman" w:hAnsi="Times New Roman" w:eastAsia="仿宋_GB2312" w:cs="Times New Roman"/>
          <w:sz w:val="32"/>
          <w:szCs w:val="32"/>
          <w:lang w:val="en-US" w:eastAsia="zh-CN"/>
        </w:rPr>
        <w:t>//tancheng.gov.cn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下载。如对本年度报告有疑问，请与郯城县人民政府办公室联系（电话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0539-6221137，电子邮箱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tcxzfbgs</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sz w:val="32"/>
          <w:szCs w:val="32"/>
          <w:lang w:val="en-US" w:eastAsia="zh-CN"/>
        </w:rPr>
        <w:t>ly.shandong.cn）。</w:t>
      </w:r>
    </w:p>
    <w:p w14:paraId="1A872AB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一、总体情况</w:t>
      </w:r>
    </w:p>
    <w:p w14:paraId="4FF3577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郯城县以习近平新时代中国特色社会主义思想为指导，全面贯彻落实党的二十大和二十届二中、三中全会精神，围绕县委县政府重点工作，认真落实新时代政务公开任务要求，以公开提效能、优服务、转作风、促发展，不断提升政务公开工作水平。</w:t>
      </w:r>
    </w:p>
    <w:p w14:paraId="46E4DDC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（一）聚焦中心工作，把握主动公开“着力点”</w:t>
      </w:r>
    </w:p>
    <w:p w14:paraId="5C82E49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各级各部门通过郯城县政府网站主动公开政府信息9928条。其中，围绕工业强县建设、乡村振兴、优化营商环境等中心工作，不断加大政府信息发布力度，公开重点领域信息2254条；持续做好政策文件库动态调整，主动公开以县政府和县政府办公室名义印发的政策文件28件，规范性文件2件；聚焦群众关心关切的热点难点问题，发布政策解读39件，开展政策访谈6期，针对需要社会广泛知晓的重大措施开展新闻发布会1次，全方位传递政策意图，不断提升群众获取信息便利度。</w:t>
      </w:r>
    </w:p>
    <w:p w14:paraId="6E965A7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（二）优化办理流程，紧扣依申请公开“关键点”</w:t>
      </w:r>
    </w:p>
    <w:p w14:paraId="17F9DF8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规范依申请公开办理流程链条，畅通受理渠道，强化服务理念，确保登记、办理、审核、答复、送达等各个环节落实到位、责任到人。2024年，全县共受理政府信息公开申请163件（含本年度新收159件、结转上一年度4件），已办结157件（结转下年度办理6件），均在法定期限内规范答复。申请数量与上一年度相比减少30件，申请内容仍集中在征地拆迁领域，占申请总数的74.5%。</w:t>
      </w:r>
    </w:p>
    <w:p w14:paraId="37C2208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（三）强化制度建设，抓好信息管理“立足点”</w:t>
      </w:r>
    </w:p>
    <w:p w14:paraId="3FFC1E7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断调整完善县级主动公开事项目录，逐项明确公开主体、公开内容、发布时限、公开依据等要素，确保网站发布信息有法可依、按章办事、高效运行。严格落实政府信息公开审查制度，坚持“先审查、后公开”和“一事一审”原则，未经保密审查的信息一律不得对外发布，确保公开信息权威性和准确性；推动政策文件全生命周期管理，依托政策文件库，集中公开现行有效规范性文件11件，宣布失效2件，实现政策文件一站归集、动态管理。</w:t>
      </w:r>
    </w:p>
    <w:p w14:paraId="48D0FC3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（四）多点协同联动，明确平台建设“切入点”</w:t>
      </w:r>
    </w:p>
    <w:p w14:paraId="27681C7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发挥政务新媒体传播矩阵作用，组织全县28个政务新媒体转载权威信息3300余次，主账号转载率达100%，形成宣传合力。利用微信公众平台传播速度快、受众面广等优势，通过“郯城发布”公众平台账号发布就业招聘、教育招生、惠民政策等信息86条，持续提升原创信息丰富程度，有效提升满足群众需求的同时确保传播效果最大化。刊发《郯城县人民政府政府公报》4期，县政府文件 12件、县政府办公室文件 16 件、规范性文件 2 件，有效文字量 8.25 万字。</w:t>
      </w:r>
    </w:p>
    <w:p w14:paraId="287C567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（五）加强跟踪问效，找准监督保障“落脚点”</w:t>
      </w:r>
    </w:p>
    <w:p w14:paraId="0B80614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新时代政务公开要求，进一步完善政务公开工作机制，印发《2024年郯城县政务公开工作要点》，督促各部门做好法定信息发布，精心编制政府信息公开指南及年度报告，依法答复政府信息公开申请，更好发挥以公开促落实、促规范、强监管的作用。开展新进政务公开工作人员业务培训6期，强化有关理论学习和业务研究，把握政策精神，增强专业素养。</w:t>
      </w:r>
    </w:p>
    <w:p w14:paraId="450D34E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53A97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二、主动公开政府信息情况</w:t>
      </w:r>
    </w:p>
    <w:tbl>
      <w:tblPr>
        <w:tblStyle w:val="2"/>
        <w:tblW w:w="88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6"/>
        <w:gridCol w:w="2206"/>
        <w:gridCol w:w="2206"/>
        <w:gridCol w:w="2270"/>
      </w:tblGrid>
      <w:tr w14:paraId="0FB4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888"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5294A3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1DF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F66989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216D14A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70792A5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70" w:type="dxa"/>
            <w:tcBorders>
              <w:top w:val="nil"/>
              <w:left w:val="nil"/>
              <w:bottom w:val="single" w:color="auto" w:sz="8" w:space="0"/>
              <w:right w:val="single" w:color="auto" w:sz="8" w:space="0"/>
            </w:tcBorders>
            <w:shd w:val="clear" w:color="auto" w:fill="auto"/>
            <w:vAlign w:val="center"/>
          </w:tcPr>
          <w:p w14:paraId="7CBBFF0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77C2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35203A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6E04477">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7F4CFF">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70" w:type="dxa"/>
            <w:tcBorders>
              <w:top w:val="nil"/>
              <w:left w:val="nil"/>
              <w:bottom w:val="single" w:color="auto" w:sz="8" w:space="0"/>
              <w:right w:val="single" w:color="auto" w:sz="8" w:space="0"/>
            </w:tcBorders>
            <w:shd w:val="clear" w:color="auto" w:fill="auto"/>
            <w:vAlign w:val="center"/>
          </w:tcPr>
          <w:p w14:paraId="5AC392C6">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14:paraId="77D5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BACBD8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16B63E01">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2</w:t>
            </w:r>
          </w:p>
        </w:tc>
        <w:tc>
          <w:tcPr>
            <w:tcW w:w="2206" w:type="dxa"/>
            <w:tcBorders>
              <w:top w:val="nil"/>
              <w:left w:val="nil"/>
              <w:bottom w:val="single" w:color="auto" w:sz="8" w:space="0"/>
              <w:right w:val="single" w:color="auto" w:sz="8" w:space="0"/>
            </w:tcBorders>
            <w:shd w:val="clear" w:color="auto" w:fill="auto"/>
            <w:vAlign w:val="center"/>
          </w:tcPr>
          <w:p w14:paraId="14DA513D">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3</w:t>
            </w:r>
          </w:p>
        </w:tc>
        <w:tc>
          <w:tcPr>
            <w:tcW w:w="2270" w:type="dxa"/>
            <w:tcBorders>
              <w:top w:val="nil"/>
              <w:left w:val="nil"/>
              <w:bottom w:val="single" w:color="auto" w:sz="8" w:space="0"/>
              <w:right w:val="single" w:color="auto" w:sz="8" w:space="0"/>
            </w:tcBorders>
            <w:shd w:val="clear" w:color="auto" w:fill="auto"/>
            <w:vAlign w:val="center"/>
          </w:tcPr>
          <w:p w14:paraId="34F7B822">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11</w:t>
            </w:r>
          </w:p>
        </w:tc>
      </w:tr>
      <w:tr w14:paraId="7267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888"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650A7A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C3B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245A04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82" w:type="dxa"/>
            <w:gridSpan w:val="3"/>
            <w:tcBorders>
              <w:top w:val="single" w:color="auto" w:sz="8" w:space="0"/>
              <w:left w:val="nil"/>
              <w:bottom w:val="single" w:color="auto" w:sz="8" w:space="0"/>
              <w:right w:val="single" w:color="000000" w:sz="8" w:space="0"/>
            </w:tcBorders>
            <w:shd w:val="clear" w:color="auto" w:fill="auto"/>
            <w:vAlign w:val="center"/>
          </w:tcPr>
          <w:p w14:paraId="542A56C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817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19321B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82" w:type="dxa"/>
            <w:gridSpan w:val="3"/>
            <w:tcBorders>
              <w:top w:val="single" w:color="auto" w:sz="8" w:space="0"/>
              <w:left w:val="nil"/>
              <w:bottom w:val="single" w:color="auto" w:sz="8" w:space="0"/>
              <w:right w:val="single" w:color="000000" w:sz="8" w:space="0"/>
            </w:tcBorders>
            <w:shd w:val="clear" w:color="auto" w:fill="auto"/>
            <w:vAlign w:val="center"/>
          </w:tcPr>
          <w:p w14:paraId="7FC8A56A">
            <w:pPr>
              <w:widowControl/>
              <w:jc w:val="center"/>
              <w:rPr>
                <w:rFonts w:hint="default"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68750</w:t>
            </w:r>
          </w:p>
        </w:tc>
      </w:tr>
      <w:tr w14:paraId="551B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888"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74F9BC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413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E9B26D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82" w:type="dxa"/>
            <w:gridSpan w:val="3"/>
            <w:tcBorders>
              <w:top w:val="single" w:color="auto" w:sz="8" w:space="0"/>
              <w:left w:val="nil"/>
              <w:bottom w:val="single" w:color="auto" w:sz="8" w:space="0"/>
              <w:right w:val="single" w:color="000000" w:sz="8" w:space="0"/>
            </w:tcBorders>
            <w:shd w:val="clear" w:color="auto" w:fill="auto"/>
            <w:vAlign w:val="center"/>
          </w:tcPr>
          <w:p w14:paraId="4BB3C59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367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F1DD2D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82" w:type="dxa"/>
            <w:gridSpan w:val="3"/>
            <w:tcBorders>
              <w:top w:val="single" w:color="auto" w:sz="8" w:space="0"/>
              <w:left w:val="nil"/>
              <w:bottom w:val="single" w:color="auto" w:sz="8" w:space="0"/>
              <w:right w:val="single" w:color="000000" w:sz="8" w:space="0"/>
            </w:tcBorders>
            <w:shd w:val="clear" w:color="auto" w:fill="auto"/>
            <w:vAlign w:val="center"/>
          </w:tcPr>
          <w:p w14:paraId="5ED4C10F">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4086</w:t>
            </w:r>
          </w:p>
        </w:tc>
      </w:tr>
      <w:tr w14:paraId="34F9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BE934D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82" w:type="dxa"/>
            <w:gridSpan w:val="3"/>
            <w:tcBorders>
              <w:top w:val="single" w:color="auto" w:sz="8" w:space="0"/>
              <w:left w:val="nil"/>
              <w:bottom w:val="single" w:color="auto" w:sz="8" w:space="0"/>
              <w:right w:val="single" w:color="000000" w:sz="8" w:space="0"/>
            </w:tcBorders>
            <w:shd w:val="clear" w:color="auto" w:fill="auto"/>
            <w:vAlign w:val="center"/>
          </w:tcPr>
          <w:p w14:paraId="01D264D5">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1708</w:t>
            </w:r>
          </w:p>
        </w:tc>
      </w:tr>
      <w:tr w14:paraId="6FA4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888"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87CE359">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E9F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002911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82" w:type="dxa"/>
            <w:gridSpan w:val="3"/>
            <w:tcBorders>
              <w:top w:val="single" w:color="auto" w:sz="8" w:space="0"/>
              <w:left w:val="nil"/>
              <w:bottom w:val="single" w:color="auto" w:sz="8" w:space="0"/>
              <w:right w:val="single" w:color="000000" w:sz="8" w:space="0"/>
            </w:tcBorders>
            <w:shd w:val="clear" w:color="auto" w:fill="auto"/>
            <w:vAlign w:val="center"/>
          </w:tcPr>
          <w:p w14:paraId="687A547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146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D9284F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82" w:type="dxa"/>
            <w:gridSpan w:val="3"/>
            <w:tcBorders>
              <w:top w:val="single" w:color="auto" w:sz="8" w:space="0"/>
              <w:left w:val="nil"/>
              <w:bottom w:val="single" w:color="auto" w:sz="8" w:space="0"/>
              <w:right w:val="single" w:color="000000" w:sz="8" w:space="0"/>
            </w:tcBorders>
            <w:shd w:val="clear" w:color="auto" w:fill="auto"/>
            <w:vAlign w:val="center"/>
          </w:tcPr>
          <w:p w14:paraId="11FCB23B">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3511</w:t>
            </w:r>
          </w:p>
        </w:tc>
      </w:tr>
    </w:tbl>
    <w:p w14:paraId="68140EDD">
      <w:pPr>
        <w:rPr>
          <w:rFonts w:hint="eastAsia" w:ascii="黑体" w:hAnsi="黑体" w:eastAsia="黑体" w:cs="黑体"/>
          <w:b w:val="0"/>
          <w:bCs/>
          <w:i w:val="0"/>
          <w:caps w:val="0"/>
          <w:smallCaps w:val="0"/>
          <w:color w:val="333333"/>
          <w:spacing w:val="0"/>
          <w:kern w:val="0"/>
          <w:sz w:val="32"/>
          <w:szCs w:val="32"/>
          <w:shd w:val="clear" w:color="auto" w:fill="FFFFFF"/>
          <w:lang w:val="en-US" w:eastAsia="zh-CN"/>
        </w:rPr>
      </w:pPr>
      <w:r>
        <w:rPr>
          <w:rFonts w:hint="eastAsia" w:ascii="黑体" w:hAnsi="黑体" w:eastAsia="黑体" w:cs="黑体"/>
          <w:b w:val="0"/>
          <w:bCs/>
          <w:i w:val="0"/>
          <w:caps w:val="0"/>
          <w:smallCaps w:val="0"/>
          <w:color w:val="333333"/>
          <w:spacing w:val="0"/>
          <w:kern w:val="0"/>
          <w:sz w:val="32"/>
          <w:szCs w:val="32"/>
          <w:shd w:val="clear" w:color="auto" w:fill="FFFFFF"/>
          <w:lang w:val="en-US" w:eastAsia="zh-CN"/>
        </w:rPr>
        <w:br w:type="page"/>
      </w:r>
    </w:p>
    <w:p w14:paraId="02E5B6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i w:val="0"/>
          <w:caps w:val="0"/>
          <w:smallCaps w:val="0"/>
          <w:color w:val="333333"/>
          <w:spacing w:val="0"/>
          <w:kern w:val="0"/>
          <w:sz w:val="32"/>
          <w:szCs w:val="32"/>
          <w:shd w:val="clear" w:color="auto" w:fill="FFFFFF"/>
          <w:lang w:val="en-US" w:eastAsia="zh-CN"/>
        </w:rPr>
      </w:pPr>
      <w:r>
        <w:rPr>
          <w:rFonts w:hint="eastAsia" w:ascii="黑体" w:hAnsi="黑体" w:eastAsia="黑体" w:cs="黑体"/>
          <w:b w:val="0"/>
          <w:bCs/>
          <w:i w:val="0"/>
          <w:caps w:val="0"/>
          <w:smallCaps w:val="0"/>
          <w:color w:val="333333"/>
          <w:spacing w:val="0"/>
          <w:kern w:val="0"/>
          <w:sz w:val="32"/>
          <w:szCs w:val="32"/>
          <w:shd w:val="clear" w:color="auto" w:fill="FFFFFF"/>
          <w:lang w:val="en-US" w:eastAsia="zh-CN"/>
        </w:rPr>
        <w:t>三、收到和处理政府信息公开申请情况</w:t>
      </w:r>
    </w:p>
    <w:tbl>
      <w:tblPr>
        <w:tblStyle w:val="2"/>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1405B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5093" w:type="dxa"/>
            <w:gridSpan w:val="3"/>
            <w:vMerge w:val="restart"/>
            <w:shd w:val="clear" w:color="auto" w:fill="auto"/>
            <w:tcMar>
              <w:left w:w="108" w:type="dxa"/>
              <w:right w:w="108" w:type="dxa"/>
            </w:tcMar>
            <w:vAlign w:val="center"/>
          </w:tcPr>
          <w:p w14:paraId="1057816A">
            <w:pPr>
              <w:widowControl/>
              <w:spacing w:beforeAutospacing="0" w:afterAutospacing="0" w:line="320" w:lineRule="exact"/>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62834A9">
            <w:pPr>
              <w:widowControl/>
              <w:spacing w:beforeAutospacing="0" w:afterAutospacing="0" w:line="320" w:lineRule="exact"/>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14:paraId="35FDD094">
            <w:pPr>
              <w:widowControl/>
              <w:spacing w:beforeAutospacing="0" w:afterAutospacing="0" w:line="320" w:lineRule="exact"/>
              <w:jc w:val="center"/>
              <w:rPr>
                <w:rFonts w:ascii="黑体" w:hAnsi="黑体" w:eastAsia="黑体"/>
                <w:szCs w:val="21"/>
              </w:rPr>
            </w:pPr>
            <w:r>
              <w:rPr>
                <w:rFonts w:hint="eastAsia" w:ascii="黑体" w:hAnsi="黑体" w:eastAsia="黑体"/>
                <w:kern w:val="0"/>
                <w:szCs w:val="21"/>
              </w:rPr>
              <w:t>申请人情况</w:t>
            </w:r>
          </w:p>
        </w:tc>
      </w:tr>
      <w:tr w14:paraId="0B0E0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093" w:type="dxa"/>
            <w:gridSpan w:val="3"/>
            <w:vMerge w:val="continue"/>
            <w:shd w:val="clear" w:color="auto" w:fill="auto"/>
            <w:tcMar>
              <w:left w:w="108" w:type="dxa"/>
              <w:right w:w="108" w:type="dxa"/>
            </w:tcMar>
            <w:vAlign w:val="center"/>
          </w:tcPr>
          <w:p w14:paraId="0A6EEF59"/>
        </w:tc>
        <w:tc>
          <w:tcPr>
            <w:tcW w:w="747" w:type="dxa"/>
            <w:vMerge w:val="restart"/>
            <w:tcBorders>
              <w:left w:val="single" w:color="auto" w:sz="4" w:space="0"/>
            </w:tcBorders>
            <w:shd w:val="clear" w:color="auto" w:fill="auto"/>
            <w:tcMar>
              <w:left w:w="108" w:type="dxa"/>
              <w:right w:w="108" w:type="dxa"/>
            </w:tcMar>
            <w:vAlign w:val="center"/>
          </w:tcPr>
          <w:p w14:paraId="32FEB72F">
            <w:pPr>
              <w:widowControl/>
              <w:spacing w:beforeAutospacing="0" w:afterAutospacing="0" w:line="320" w:lineRule="exact"/>
              <w:jc w:val="center"/>
              <w:rPr>
                <w:rFonts w:ascii="黑体" w:hAnsi="黑体" w:eastAsia="黑体"/>
                <w:szCs w:val="21"/>
              </w:rPr>
            </w:pPr>
            <w:r>
              <w:rPr>
                <w:rFonts w:hint="eastAsia" w:ascii="黑体" w:hAnsi="黑体" w:eastAsia="黑体"/>
                <w:kern w:val="0"/>
                <w:szCs w:val="21"/>
              </w:rPr>
              <w:t>自然人</w:t>
            </w:r>
          </w:p>
        </w:tc>
        <w:tc>
          <w:tcPr>
            <w:tcW w:w="3000" w:type="dxa"/>
            <w:gridSpan w:val="7"/>
            <w:tcBorders>
              <w:left w:val="single" w:color="auto" w:sz="4" w:space="0"/>
            </w:tcBorders>
            <w:shd w:val="clear" w:color="auto" w:fill="auto"/>
            <w:tcMar>
              <w:left w:w="108" w:type="dxa"/>
              <w:right w:w="108" w:type="dxa"/>
            </w:tcMar>
            <w:vAlign w:val="center"/>
          </w:tcPr>
          <w:p w14:paraId="6DE8F8C7">
            <w:pPr>
              <w:widowControl/>
              <w:spacing w:beforeAutospacing="0" w:afterAutospacing="0"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tcBorders>
              <w:left w:val="single" w:color="auto" w:sz="4" w:space="0"/>
            </w:tcBorders>
            <w:shd w:val="clear" w:color="auto" w:fill="auto"/>
            <w:tcMar>
              <w:left w:w="108" w:type="dxa"/>
              <w:right w:w="108" w:type="dxa"/>
            </w:tcMar>
            <w:vAlign w:val="center"/>
          </w:tcPr>
          <w:p w14:paraId="0F2733B7">
            <w:pPr>
              <w:widowControl/>
              <w:spacing w:beforeAutospacing="0" w:afterAutospacing="0" w:line="320" w:lineRule="exact"/>
              <w:jc w:val="center"/>
              <w:rPr>
                <w:rFonts w:ascii="黑体" w:hAnsi="黑体" w:eastAsia="黑体"/>
                <w:szCs w:val="21"/>
              </w:rPr>
            </w:pPr>
            <w:r>
              <w:rPr>
                <w:rFonts w:hint="eastAsia" w:ascii="黑体" w:hAnsi="黑体" w:eastAsia="黑体"/>
                <w:kern w:val="0"/>
                <w:szCs w:val="21"/>
              </w:rPr>
              <w:t>总计</w:t>
            </w:r>
          </w:p>
        </w:tc>
      </w:tr>
      <w:tr w14:paraId="1CBFB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1357875"/>
        </w:tc>
        <w:tc>
          <w:tcPr>
            <w:tcW w:w="747" w:type="dxa"/>
            <w:vMerge w:val="continue"/>
            <w:tcBorders>
              <w:left w:val="single" w:color="auto" w:sz="4" w:space="0"/>
            </w:tcBorders>
            <w:shd w:val="clear" w:color="auto" w:fill="auto"/>
            <w:tcMar>
              <w:left w:w="108" w:type="dxa"/>
              <w:right w:w="108" w:type="dxa"/>
            </w:tcMar>
            <w:vAlign w:val="center"/>
          </w:tcPr>
          <w:p w14:paraId="30910A5E"/>
        </w:tc>
        <w:tc>
          <w:tcPr>
            <w:tcW w:w="540" w:type="dxa"/>
            <w:gridSpan w:val="2"/>
            <w:tcBorders>
              <w:left w:val="single" w:color="auto" w:sz="4" w:space="0"/>
            </w:tcBorders>
            <w:shd w:val="clear" w:color="auto" w:fill="auto"/>
            <w:tcMar>
              <w:left w:w="108" w:type="dxa"/>
              <w:right w:w="108" w:type="dxa"/>
            </w:tcMar>
            <w:vAlign w:val="center"/>
          </w:tcPr>
          <w:p w14:paraId="305B4ADB">
            <w:pPr>
              <w:widowControl/>
              <w:spacing w:beforeAutospacing="0" w:afterAutospacing="0"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tcBorders>
              <w:left w:val="single" w:color="auto" w:sz="4" w:space="0"/>
            </w:tcBorders>
            <w:shd w:val="clear" w:color="auto" w:fill="auto"/>
            <w:tcMar>
              <w:left w:w="108" w:type="dxa"/>
              <w:right w:w="108" w:type="dxa"/>
            </w:tcMar>
            <w:vAlign w:val="center"/>
          </w:tcPr>
          <w:p w14:paraId="046275B7">
            <w:pPr>
              <w:widowControl/>
              <w:spacing w:beforeAutospacing="0" w:afterAutospacing="0"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tcBorders>
              <w:left w:val="single" w:color="auto" w:sz="4" w:space="0"/>
            </w:tcBorders>
            <w:shd w:val="clear" w:color="auto" w:fill="auto"/>
            <w:tcMar>
              <w:left w:w="108" w:type="dxa"/>
              <w:right w:w="108" w:type="dxa"/>
            </w:tcMar>
            <w:vAlign w:val="center"/>
          </w:tcPr>
          <w:p w14:paraId="6EF7A8C7">
            <w:pPr>
              <w:widowControl/>
              <w:spacing w:beforeAutospacing="0" w:afterAutospacing="0"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tcBorders>
              <w:left w:val="single" w:color="auto" w:sz="4" w:space="0"/>
            </w:tcBorders>
            <w:shd w:val="clear" w:color="auto" w:fill="auto"/>
            <w:tcMar>
              <w:left w:w="108" w:type="dxa"/>
              <w:right w:w="108" w:type="dxa"/>
            </w:tcMar>
            <w:vAlign w:val="center"/>
          </w:tcPr>
          <w:p w14:paraId="236AD140">
            <w:pPr>
              <w:widowControl/>
              <w:spacing w:beforeAutospacing="0" w:afterAutospacing="0"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tcBorders>
              <w:left w:val="single" w:color="auto" w:sz="4" w:space="0"/>
            </w:tcBorders>
            <w:shd w:val="clear" w:color="auto" w:fill="auto"/>
            <w:tcMar>
              <w:left w:w="108" w:type="dxa"/>
              <w:right w:w="108" w:type="dxa"/>
            </w:tcMar>
            <w:vAlign w:val="center"/>
          </w:tcPr>
          <w:p w14:paraId="58AB6EC2">
            <w:pPr>
              <w:widowControl/>
              <w:spacing w:beforeAutospacing="0" w:afterAutospacing="0" w:line="32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tcBorders>
              <w:left w:val="single" w:color="auto" w:sz="4" w:space="0"/>
            </w:tcBorders>
            <w:shd w:val="clear" w:color="auto" w:fill="auto"/>
            <w:tcMar>
              <w:left w:w="108" w:type="dxa"/>
              <w:right w:w="108" w:type="dxa"/>
            </w:tcMar>
            <w:vAlign w:val="center"/>
          </w:tcPr>
          <w:p w14:paraId="32344ACD"/>
        </w:tc>
      </w:tr>
      <w:tr w14:paraId="1C92C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49BEA4A">
            <w:pPr>
              <w:widowControl/>
              <w:spacing w:beforeAutospacing="0" w:afterAutospacing="0" w:line="320" w:lineRule="exact"/>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tcBorders>
              <w:left w:val="single" w:color="auto" w:sz="4" w:space="0"/>
            </w:tcBorders>
            <w:shd w:val="clear" w:color="auto" w:fill="auto"/>
            <w:tcMar>
              <w:left w:w="108" w:type="dxa"/>
              <w:right w:w="108" w:type="dxa"/>
            </w:tcMar>
            <w:vAlign w:val="center"/>
          </w:tcPr>
          <w:p w14:paraId="1858A37C">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159</w:t>
            </w:r>
          </w:p>
        </w:tc>
        <w:tc>
          <w:tcPr>
            <w:tcW w:w="540" w:type="dxa"/>
            <w:gridSpan w:val="2"/>
            <w:tcBorders>
              <w:left w:val="single" w:color="auto" w:sz="4" w:space="0"/>
            </w:tcBorders>
            <w:shd w:val="clear" w:color="auto" w:fill="auto"/>
            <w:tcMar>
              <w:left w:w="108" w:type="dxa"/>
              <w:right w:w="108" w:type="dxa"/>
            </w:tcMar>
            <w:vAlign w:val="center"/>
          </w:tcPr>
          <w:p w14:paraId="23611A83">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1C06ABFE">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37C30561">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3D326F1F">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5E4E20B5">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4301CFCF">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159</w:t>
            </w:r>
          </w:p>
        </w:tc>
      </w:tr>
      <w:tr w14:paraId="7B3FE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DB103A8">
            <w:pPr>
              <w:widowControl/>
              <w:spacing w:beforeAutospacing="0" w:afterAutospacing="0" w:line="320" w:lineRule="exact"/>
              <w:rPr>
                <w:rFonts w:ascii="黑体" w:hAnsi="黑体" w:eastAsia="黑体"/>
                <w:szCs w:val="21"/>
              </w:rPr>
            </w:pPr>
            <w:r>
              <w:rPr>
                <w:rFonts w:hint="eastAsia" w:ascii="黑体" w:hAnsi="黑体" w:eastAsia="黑体"/>
                <w:kern w:val="0"/>
                <w:szCs w:val="21"/>
              </w:rPr>
              <w:t>二、上年结转政府信息公开申请数量</w:t>
            </w:r>
          </w:p>
        </w:tc>
        <w:tc>
          <w:tcPr>
            <w:tcW w:w="747" w:type="dxa"/>
            <w:tcBorders>
              <w:left w:val="single" w:color="auto" w:sz="4" w:space="0"/>
            </w:tcBorders>
            <w:shd w:val="clear" w:color="auto" w:fill="auto"/>
            <w:tcMar>
              <w:left w:w="108" w:type="dxa"/>
              <w:right w:w="108" w:type="dxa"/>
            </w:tcMar>
            <w:vAlign w:val="center"/>
          </w:tcPr>
          <w:p w14:paraId="004E1DA9">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c>
          <w:tcPr>
            <w:tcW w:w="540" w:type="dxa"/>
            <w:gridSpan w:val="2"/>
            <w:tcBorders>
              <w:left w:val="single" w:color="auto" w:sz="4" w:space="0"/>
            </w:tcBorders>
            <w:shd w:val="clear" w:color="auto" w:fill="auto"/>
            <w:tcMar>
              <w:left w:w="108" w:type="dxa"/>
              <w:right w:w="108" w:type="dxa"/>
            </w:tcMar>
            <w:vAlign w:val="center"/>
          </w:tcPr>
          <w:p w14:paraId="31BE40F3">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23A5CB1E">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56D0A09F">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1EEE9551">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12B4FCDC">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6FCB55CC">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r>
      <w:tr w14:paraId="25F16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0BD145E">
            <w:pPr>
              <w:widowControl/>
              <w:spacing w:beforeAutospacing="0" w:after="180" w:afterAutospacing="0" w:line="320" w:lineRule="exact"/>
              <w:rPr>
                <w:rFonts w:ascii="黑体" w:hAnsi="黑体" w:eastAsia="黑体"/>
                <w:szCs w:val="21"/>
              </w:rPr>
            </w:pPr>
            <w:r>
              <w:rPr>
                <w:rFonts w:hint="eastAsia" w:ascii="黑体" w:hAnsi="黑体" w:eastAsia="黑体"/>
                <w:kern w:val="0"/>
                <w:szCs w:val="21"/>
              </w:rPr>
              <w:t>三、本年度办理结果</w:t>
            </w:r>
          </w:p>
        </w:tc>
        <w:tc>
          <w:tcPr>
            <w:tcW w:w="4677" w:type="dxa"/>
            <w:gridSpan w:val="2"/>
            <w:tcBorders>
              <w:left w:val="single" w:color="auto" w:sz="4" w:space="0"/>
            </w:tcBorders>
            <w:shd w:val="clear" w:color="auto" w:fill="auto"/>
            <w:tcMar>
              <w:left w:w="108" w:type="dxa"/>
              <w:right w:w="108" w:type="dxa"/>
            </w:tcMar>
            <w:vAlign w:val="center"/>
          </w:tcPr>
          <w:p w14:paraId="0422C387">
            <w:pPr>
              <w:widowControl/>
              <w:spacing w:beforeAutospacing="0" w:afterAutospacing="0" w:line="320" w:lineRule="exact"/>
              <w:rPr>
                <w:rFonts w:ascii="黑体" w:hAnsi="黑体" w:eastAsia="黑体"/>
                <w:szCs w:val="21"/>
              </w:rPr>
            </w:pPr>
            <w:r>
              <w:rPr>
                <w:rFonts w:hint="eastAsia" w:ascii="黑体" w:hAnsi="黑体" w:eastAsia="黑体"/>
                <w:kern w:val="0"/>
                <w:szCs w:val="21"/>
              </w:rPr>
              <w:t>（一）予以公开</w:t>
            </w:r>
          </w:p>
        </w:tc>
        <w:tc>
          <w:tcPr>
            <w:tcW w:w="752" w:type="dxa"/>
            <w:gridSpan w:val="2"/>
            <w:tcBorders>
              <w:left w:val="single" w:color="auto" w:sz="4" w:space="0"/>
            </w:tcBorders>
            <w:shd w:val="clear" w:color="auto" w:fill="auto"/>
            <w:tcMar>
              <w:left w:w="108" w:type="dxa"/>
              <w:right w:w="108" w:type="dxa"/>
            </w:tcMar>
            <w:vAlign w:val="center"/>
          </w:tcPr>
          <w:p w14:paraId="53973095">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36</w:t>
            </w:r>
          </w:p>
        </w:tc>
        <w:tc>
          <w:tcPr>
            <w:tcW w:w="540" w:type="dxa"/>
            <w:gridSpan w:val="2"/>
            <w:tcBorders>
              <w:left w:val="single" w:color="auto" w:sz="4" w:space="0"/>
            </w:tcBorders>
            <w:shd w:val="clear" w:color="auto" w:fill="auto"/>
            <w:tcMar>
              <w:left w:w="108" w:type="dxa"/>
              <w:right w:w="108" w:type="dxa"/>
            </w:tcMar>
            <w:vAlign w:val="center"/>
          </w:tcPr>
          <w:p w14:paraId="783AB9E1">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tcBorders>
              <w:left w:val="single" w:color="auto" w:sz="4" w:space="0"/>
            </w:tcBorders>
            <w:shd w:val="clear" w:color="auto" w:fill="auto"/>
            <w:tcMar>
              <w:left w:w="108" w:type="dxa"/>
              <w:right w:w="108" w:type="dxa"/>
            </w:tcMar>
            <w:vAlign w:val="center"/>
          </w:tcPr>
          <w:p w14:paraId="03370BF5">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7A19771F">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20E8005D">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tcBorders>
              <w:left w:val="single" w:color="auto" w:sz="4" w:space="0"/>
            </w:tcBorders>
            <w:shd w:val="clear" w:color="auto" w:fill="auto"/>
            <w:tcMar>
              <w:left w:w="108" w:type="dxa"/>
              <w:right w:w="108" w:type="dxa"/>
            </w:tcMar>
            <w:vAlign w:val="center"/>
          </w:tcPr>
          <w:p w14:paraId="4E5509B9">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tcBorders>
              <w:left w:val="single" w:color="auto" w:sz="4" w:space="0"/>
            </w:tcBorders>
            <w:shd w:val="clear" w:color="auto" w:fill="auto"/>
            <w:tcMar>
              <w:left w:w="108" w:type="dxa"/>
              <w:right w:w="108" w:type="dxa"/>
            </w:tcMar>
            <w:vAlign w:val="center"/>
          </w:tcPr>
          <w:p w14:paraId="5EFBC7EA">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36</w:t>
            </w:r>
          </w:p>
        </w:tc>
      </w:tr>
      <w:tr w14:paraId="2A5D5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416" w:type="dxa"/>
            <w:vMerge w:val="continue"/>
            <w:shd w:val="clear" w:color="auto" w:fill="auto"/>
            <w:tcMar>
              <w:left w:w="108" w:type="dxa"/>
              <w:right w:w="108" w:type="dxa"/>
            </w:tcMar>
            <w:vAlign w:val="center"/>
          </w:tcPr>
          <w:p w14:paraId="262326F0"/>
        </w:tc>
        <w:tc>
          <w:tcPr>
            <w:tcW w:w="4677" w:type="dxa"/>
            <w:gridSpan w:val="2"/>
            <w:tcBorders>
              <w:left w:val="single" w:color="auto" w:sz="4" w:space="0"/>
            </w:tcBorders>
            <w:shd w:val="clear" w:color="auto" w:fill="auto"/>
            <w:tcMar>
              <w:left w:w="108" w:type="dxa"/>
              <w:right w:w="108" w:type="dxa"/>
            </w:tcMar>
            <w:vAlign w:val="center"/>
          </w:tcPr>
          <w:p w14:paraId="4AF53B28">
            <w:pPr>
              <w:widowControl/>
              <w:spacing w:line="320" w:lineRule="exact"/>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tcBorders>
              <w:left w:val="single" w:color="auto" w:sz="4" w:space="0"/>
            </w:tcBorders>
            <w:shd w:val="clear" w:color="auto" w:fill="auto"/>
            <w:tcMar>
              <w:left w:w="108" w:type="dxa"/>
              <w:right w:w="108" w:type="dxa"/>
            </w:tcMar>
            <w:vAlign w:val="center"/>
          </w:tcPr>
          <w:p w14:paraId="4F8EC78D">
            <w:pPr>
              <w:keepNext w:val="0"/>
              <w:keepLines w:val="0"/>
              <w:pageBreakBefore w:val="0"/>
              <w:widowControl/>
              <w:kinsoku/>
              <w:wordWrap/>
              <w:overflowPunct/>
              <w:topLinePunct w:val="0"/>
              <w:autoSpaceDE/>
              <w:autoSpaceDN/>
              <w:adjustRightInd/>
              <w:snapToGrid/>
              <w:spacing w:line="32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82</w:t>
            </w:r>
          </w:p>
        </w:tc>
        <w:tc>
          <w:tcPr>
            <w:tcW w:w="540" w:type="dxa"/>
            <w:gridSpan w:val="2"/>
            <w:tcBorders>
              <w:left w:val="single" w:color="auto" w:sz="4" w:space="0"/>
            </w:tcBorders>
            <w:shd w:val="clear" w:color="auto" w:fill="auto"/>
            <w:tcMar>
              <w:left w:w="108" w:type="dxa"/>
              <w:right w:w="108" w:type="dxa"/>
            </w:tcMar>
            <w:vAlign w:val="center"/>
          </w:tcPr>
          <w:p w14:paraId="7FBD523A">
            <w:pPr>
              <w:keepNext w:val="0"/>
              <w:keepLines w:val="0"/>
              <w:pageBreakBefore w:val="0"/>
              <w:widowControl/>
              <w:kinsoku/>
              <w:wordWrap/>
              <w:overflowPunct/>
              <w:topLinePunct w:val="0"/>
              <w:autoSpaceDE/>
              <w:autoSpaceDN/>
              <w:adjustRightInd/>
              <w:snapToGrid/>
              <w:spacing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tcBorders>
              <w:left w:val="single" w:color="auto" w:sz="4" w:space="0"/>
            </w:tcBorders>
            <w:shd w:val="clear" w:color="auto" w:fill="auto"/>
            <w:tcMar>
              <w:left w:w="108" w:type="dxa"/>
              <w:right w:w="108" w:type="dxa"/>
            </w:tcMar>
            <w:vAlign w:val="center"/>
          </w:tcPr>
          <w:p w14:paraId="7C0D3289">
            <w:pPr>
              <w:keepNext w:val="0"/>
              <w:keepLines w:val="0"/>
              <w:pageBreakBefore w:val="0"/>
              <w:widowControl/>
              <w:kinsoku/>
              <w:wordWrap/>
              <w:overflowPunct/>
              <w:topLinePunct w:val="0"/>
              <w:autoSpaceDE/>
              <w:autoSpaceDN/>
              <w:adjustRightInd/>
              <w:snapToGrid/>
              <w:spacing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504A5524">
            <w:pPr>
              <w:keepNext w:val="0"/>
              <w:keepLines w:val="0"/>
              <w:pageBreakBefore w:val="0"/>
              <w:widowControl/>
              <w:kinsoku/>
              <w:wordWrap/>
              <w:overflowPunct/>
              <w:topLinePunct w:val="0"/>
              <w:autoSpaceDE/>
              <w:autoSpaceDN/>
              <w:adjustRightInd/>
              <w:snapToGrid/>
              <w:spacing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2C251890">
            <w:pPr>
              <w:keepNext w:val="0"/>
              <w:keepLines w:val="0"/>
              <w:pageBreakBefore w:val="0"/>
              <w:widowControl/>
              <w:kinsoku/>
              <w:wordWrap/>
              <w:overflowPunct/>
              <w:topLinePunct w:val="0"/>
              <w:autoSpaceDE/>
              <w:autoSpaceDN/>
              <w:adjustRightInd/>
              <w:snapToGrid/>
              <w:spacing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tcBorders>
              <w:left w:val="single" w:color="auto" w:sz="4" w:space="0"/>
            </w:tcBorders>
            <w:shd w:val="clear" w:color="auto" w:fill="auto"/>
            <w:tcMar>
              <w:left w:w="108" w:type="dxa"/>
              <w:right w:w="108" w:type="dxa"/>
            </w:tcMar>
            <w:vAlign w:val="center"/>
          </w:tcPr>
          <w:p w14:paraId="25D86DA5">
            <w:pPr>
              <w:keepNext w:val="0"/>
              <w:keepLines w:val="0"/>
              <w:pageBreakBefore w:val="0"/>
              <w:widowControl/>
              <w:kinsoku/>
              <w:wordWrap/>
              <w:overflowPunct/>
              <w:topLinePunct w:val="0"/>
              <w:autoSpaceDE/>
              <w:autoSpaceDN/>
              <w:adjustRightInd/>
              <w:snapToGrid/>
              <w:spacing w:line="32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tcBorders>
              <w:left w:val="single" w:color="auto" w:sz="4" w:space="0"/>
            </w:tcBorders>
            <w:shd w:val="clear" w:color="auto" w:fill="auto"/>
            <w:tcMar>
              <w:left w:w="108" w:type="dxa"/>
              <w:right w:w="108" w:type="dxa"/>
            </w:tcMar>
            <w:vAlign w:val="center"/>
          </w:tcPr>
          <w:p w14:paraId="68892750">
            <w:pPr>
              <w:keepNext w:val="0"/>
              <w:keepLines w:val="0"/>
              <w:pageBreakBefore w:val="0"/>
              <w:widowControl/>
              <w:kinsoku/>
              <w:wordWrap/>
              <w:overflowPunct/>
              <w:topLinePunct w:val="0"/>
              <w:autoSpaceDE/>
              <w:autoSpaceDN/>
              <w:adjustRightInd/>
              <w:snapToGrid/>
              <w:spacing w:beforeAutospacing="0" w:afterAutospacing="0" w:line="32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82</w:t>
            </w:r>
          </w:p>
        </w:tc>
      </w:tr>
      <w:tr w14:paraId="7541B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6DFBE660"/>
        </w:tc>
        <w:tc>
          <w:tcPr>
            <w:tcW w:w="1701" w:type="dxa"/>
            <w:vMerge w:val="restart"/>
            <w:tcBorders>
              <w:left w:val="single" w:color="auto" w:sz="4" w:space="0"/>
            </w:tcBorders>
            <w:shd w:val="clear" w:color="auto" w:fill="auto"/>
            <w:tcMar>
              <w:left w:w="108" w:type="dxa"/>
              <w:right w:w="108" w:type="dxa"/>
            </w:tcMar>
            <w:vAlign w:val="center"/>
          </w:tcPr>
          <w:p w14:paraId="244877A5">
            <w:pPr>
              <w:widowControl/>
              <w:spacing w:line="32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tcBorders>
              <w:left w:val="single" w:color="auto" w:sz="4" w:space="0"/>
            </w:tcBorders>
            <w:shd w:val="clear" w:color="auto" w:fill="auto"/>
            <w:tcMar>
              <w:left w:w="108" w:type="dxa"/>
              <w:right w:w="108" w:type="dxa"/>
            </w:tcMar>
            <w:vAlign w:val="center"/>
          </w:tcPr>
          <w:p w14:paraId="5181C0BB">
            <w:pPr>
              <w:widowControl/>
              <w:spacing w:line="32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tcBorders>
              <w:left w:val="single" w:color="auto" w:sz="4" w:space="0"/>
            </w:tcBorders>
            <w:shd w:val="clear" w:color="auto" w:fill="auto"/>
            <w:tcMar>
              <w:left w:w="108" w:type="dxa"/>
              <w:right w:w="108" w:type="dxa"/>
            </w:tcMar>
            <w:vAlign w:val="center"/>
          </w:tcPr>
          <w:p w14:paraId="032EC27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c>
          <w:tcPr>
            <w:tcW w:w="540" w:type="dxa"/>
            <w:gridSpan w:val="2"/>
            <w:tcBorders>
              <w:left w:val="single" w:color="auto" w:sz="4" w:space="0"/>
            </w:tcBorders>
            <w:shd w:val="clear" w:color="auto" w:fill="auto"/>
            <w:tcMar>
              <w:left w:w="108" w:type="dxa"/>
              <w:right w:w="108" w:type="dxa"/>
            </w:tcMar>
            <w:vAlign w:val="center"/>
          </w:tcPr>
          <w:p w14:paraId="3E15361D">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7F97157B">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17C3FE0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67727A9B">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694BE20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28DF07E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r>
      <w:tr w14:paraId="4CE87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027690BE"/>
        </w:tc>
        <w:tc>
          <w:tcPr>
            <w:tcW w:w="1701" w:type="dxa"/>
            <w:vMerge w:val="continue"/>
            <w:tcBorders>
              <w:left w:val="single" w:color="auto" w:sz="4" w:space="0"/>
            </w:tcBorders>
            <w:shd w:val="clear" w:color="auto" w:fill="auto"/>
            <w:tcMar>
              <w:left w:w="108" w:type="dxa"/>
              <w:right w:w="108" w:type="dxa"/>
            </w:tcMar>
            <w:vAlign w:val="center"/>
          </w:tcPr>
          <w:p w14:paraId="2FD17A1C"/>
        </w:tc>
        <w:tc>
          <w:tcPr>
            <w:tcW w:w="2976" w:type="dxa"/>
            <w:tcBorders>
              <w:left w:val="single" w:color="auto" w:sz="4" w:space="0"/>
            </w:tcBorders>
            <w:shd w:val="clear" w:color="auto" w:fill="auto"/>
            <w:tcMar>
              <w:left w:w="108" w:type="dxa"/>
              <w:right w:w="108" w:type="dxa"/>
            </w:tcMar>
            <w:vAlign w:val="center"/>
          </w:tcPr>
          <w:p w14:paraId="0118031D">
            <w:pPr>
              <w:widowControl/>
              <w:spacing w:line="32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tcBorders>
              <w:left w:val="single" w:color="auto" w:sz="4" w:space="0"/>
            </w:tcBorders>
            <w:shd w:val="clear" w:color="auto" w:fill="auto"/>
            <w:tcMar>
              <w:left w:w="108" w:type="dxa"/>
              <w:right w:w="108" w:type="dxa"/>
            </w:tcMar>
            <w:vAlign w:val="center"/>
          </w:tcPr>
          <w:p w14:paraId="00EE413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1252346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6A8F9BA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4A6DA61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6DE997C0">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7334D7D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74BAB42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750C7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637AB0AD"/>
        </w:tc>
        <w:tc>
          <w:tcPr>
            <w:tcW w:w="1701" w:type="dxa"/>
            <w:vMerge w:val="continue"/>
            <w:tcBorders>
              <w:left w:val="single" w:color="auto" w:sz="4" w:space="0"/>
            </w:tcBorders>
            <w:shd w:val="clear" w:color="auto" w:fill="auto"/>
            <w:tcMar>
              <w:left w:w="108" w:type="dxa"/>
              <w:right w:w="108" w:type="dxa"/>
            </w:tcMar>
            <w:vAlign w:val="center"/>
          </w:tcPr>
          <w:p w14:paraId="59AC3C13"/>
        </w:tc>
        <w:tc>
          <w:tcPr>
            <w:tcW w:w="2976" w:type="dxa"/>
            <w:tcBorders>
              <w:left w:val="single" w:color="auto" w:sz="4" w:space="0"/>
            </w:tcBorders>
            <w:shd w:val="clear" w:color="auto" w:fill="auto"/>
            <w:tcMar>
              <w:left w:w="108" w:type="dxa"/>
              <w:right w:w="108" w:type="dxa"/>
            </w:tcMar>
            <w:vAlign w:val="center"/>
          </w:tcPr>
          <w:p w14:paraId="334D8090">
            <w:pPr>
              <w:widowControl/>
              <w:spacing w:line="32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tcBorders>
              <w:left w:val="single" w:color="auto" w:sz="4" w:space="0"/>
            </w:tcBorders>
            <w:shd w:val="clear" w:color="auto" w:fill="auto"/>
            <w:tcMar>
              <w:left w:w="108" w:type="dxa"/>
              <w:right w:w="108" w:type="dxa"/>
            </w:tcMar>
            <w:vAlign w:val="center"/>
          </w:tcPr>
          <w:p w14:paraId="3A73F08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6495148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37BCBB5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3039152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7147E8A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106CB96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741955A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15BA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07651848"/>
        </w:tc>
        <w:tc>
          <w:tcPr>
            <w:tcW w:w="1701" w:type="dxa"/>
            <w:vMerge w:val="continue"/>
            <w:tcBorders>
              <w:left w:val="single" w:color="auto" w:sz="4" w:space="0"/>
            </w:tcBorders>
            <w:shd w:val="clear" w:color="auto" w:fill="auto"/>
            <w:tcMar>
              <w:left w:w="108" w:type="dxa"/>
              <w:right w:w="108" w:type="dxa"/>
            </w:tcMar>
            <w:vAlign w:val="center"/>
          </w:tcPr>
          <w:p w14:paraId="777FB3A2"/>
        </w:tc>
        <w:tc>
          <w:tcPr>
            <w:tcW w:w="2976" w:type="dxa"/>
            <w:tcBorders>
              <w:left w:val="single" w:color="auto" w:sz="4" w:space="0"/>
            </w:tcBorders>
            <w:shd w:val="clear" w:color="auto" w:fill="auto"/>
            <w:tcMar>
              <w:left w:w="108" w:type="dxa"/>
              <w:right w:w="108" w:type="dxa"/>
            </w:tcMar>
            <w:vAlign w:val="center"/>
          </w:tcPr>
          <w:p w14:paraId="7BAB409E">
            <w:pPr>
              <w:widowControl/>
              <w:spacing w:line="32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tcBorders>
              <w:left w:val="single" w:color="auto" w:sz="4" w:space="0"/>
            </w:tcBorders>
            <w:shd w:val="clear" w:color="auto" w:fill="auto"/>
            <w:tcMar>
              <w:left w:w="108" w:type="dxa"/>
              <w:right w:w="108" w:type="dxa"/>
            </w:tcMar>
            <w:vAlign w:val="center"/>
          </w:tcPr>
          <w:p w14:paraId="4B4482B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c>
          <w:tcPr>
            <w:tcW w:w="540" w:type="dxa"/>
            <w:gridSpan w:val="2"/>
            <w:tcBorders>
              <w:left w:val="single" w:color="auto" w:sz="4" w:space="0"/>
            </w:tcBorders>
            <w:shd w:val="clear" w:color="auto" w:fill="auto"/>
            <w:tcMar>
              <w:left w:w="108" w:type="dxa"/>
              <w:right w:w="108" w:type="dxa"/>
            </w:tcMar>
            <w:vAlign w:val="center"/>
          </w:tcPr>
          <w:p w14:paraId="5D24DE2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715838D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627D978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74B3AD4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54D9BB5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395E786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r>
      <w:tr w14:paraId="5FE86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2F02597A"/>
        </w:tc>
        <w:tc>
          <w:tcPr>
            <w:tcW w:w="1701" w:type="dxa"/>
            <w:vMerge w:val="continue"/>
            <w:tcBorders>
              <w:left w:val="single" w:color="auto" w:sz="4" w:space="0"/>
            </w:tcBorders>
            <w:shd w:val="clear" w:color="auto" w:fill="auto"/>
            <w:tcMar>
              <w:left w:w="108" w:type="dxa"/>
              <w:right w:w="108" w:type="dxa"/>
            </w:tcMar>
            <w:vAlign w:val="center"/>
          </w:tcPr>
          <w:p w14:paraId="3BA897D6"/>
        </w:tc>
        <w:tc>
          <w:tcPr>
            <w:tcW w:w="2976" w:type="dxa"/>
            <w:tcBorders>
              <w:left w:val="single" w:color="auto" w:sz="4" w:space="0"/>
            </w:tcBorders>
            <w:shd w:val="clear" w:color="auto" w:fill="auto"/>
            <w:tcMar>
              <w:left w:w="108" w:type="dxa"/>
              <w:right w:w="108" w:type="dxa"/>
            </w:tcMar>
            <w:vAlign w:val="center"/>
          </w:tcPr>
          <w:p w14:paraId="1FA3E1A1">
            <w:pPr>
              <w:widowControl/>
              <w:spacing w:line="32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tcBorders>
              <w:left w:val="single" w:color="auto" w:sz="4" w:space="0"/>
            </w:tcBorders>
            <w:shd w:val="clear" w:color="auto" w:fill="auto"/>
            <w:tcMar>
              <w:left w:w="108" w:type="dxa"/>
              <w:right w:w="108" w:type="dxa"/>
            </w:tcMar>
            <w:vAlign w:val="center"/>
          </w:tcPr>
          <w:p w14:paraId="4AA9331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5135C341">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78D6690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4075BC71">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6E9749C8">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70E74B7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14A0952D">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C933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356AA826"/>
        </w:tc>
        <w:tc>
          <w:tcPr>
            <w:tcW w:w="1701" w:type="dxa"/>
            <w:vMerge w:val="continue"/>
            <w:tcBorders>
              <w:left w:val="single" w:color="auto" w:sz="4" w:space="0"/>
            </w:tcBorders>
            <w:shd w:val="clear" w:color="auto" w:fill="auto"/>
            <w:tcMar>
              <w:left w:w="108" w:type="dxa"/>
              <w:right w:w="108" w:type="dxa"/>
            </w:tcMar>
            <w:vAlign w:val="center"/>
          </w:tcPr>
          <w:p w14:paraId="4019991D"/>
        </w:tc>
        <w:tc>
          <w:tcPr>
            <w:tcW w:w="2976" w:type="dxa"/>
            <w:tcBorders>
              <w:left w:val="single" w:color="auto" w:sz="4" w:space="0"/>
            </w:tcBorders>
            <w:shd w:val="clear" w:color="auto" w:fill="auto"/>
            <w:tcMar>
              <w:left w:w="108" w:type="dxa"/>
              <w:right w:w="108" w:type="dxa"/>
            </w:tcMar>
            <w:vAlign w:val="center"/>
          </w:tcPr>
          <w:p w14:paraId="210AFFB5">
            <w:pPr>
              <w:widowControl/>
              <w:spacing w:line="32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tcBorders>
              <w:left w:val="single" w:color="auto" w:sz="4" w:space="0"/>
            </w:tcBorders>
            <w:shd w:val="clear" w:color="auto" w:fill="auto"/>
            <w:tcMar>
              <w:left w:w="108" w:type="dxa"/>
              <w:right w:w="108" w:type="dxa"/>
            </w:tcMar>
            <w:vAlign w:val="center"/>
          </w:tcPr>
          <w:p w14:paraId="78C000A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4798CE8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14A9D6E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10AAF8C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4558918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2381CF30">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1CB700D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A977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757E8A8E"/>
        </w:tc>
        <w:tc>
          <w:tcPr>
            <w:tcW w:w="1701" w:type="dxa"/>
            <w:vMerge w:val="continue"/>
            <w:tcBorders>
              <w:left w:val="single" w:color="auto" w:sz="4" w:space="0"/>
            </w:tcBorders>
            <w:shd w:val="clear" w:color="auto" w:fill="auto"/>
            <w:tcMar>
              <w:left w:w="108" w:type="dxa"/>
              <w:right w:w="108" w:type="dxa"/>
            </w:tcMar>
            <w:vAlign w:val="center"/>
          </w:tcPr>
          <w:p w14:paraId="0EC5984C"/>
        </w:tc>
        <w:tc>
          <w:tcPr>
            <w:tcW w:w="2976" w:type="dxa"/>
            <w:tcBorders>
              <w:left w:val="single" w:color="auto" w:sz="4" w:space="0"/>
            </w:tcBorders>
            <w:shd w:val="clear" w:color="auto" w:fill="auto"/>
            <w:tcMar>
              <w:left w:w="108" w:type="dxa"/>
              <w:right w:w="108" w:type="dxa"/>
            </w:tcMar>
            <w:vAlign w:val="center"/>
          </w:tcPr>
          <w:p w14:paraId="21D66A22">
            <w:pPr>
              <w:widowControl/>
              <w:spacing w:line="32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tcBorders>
              <w:left w:val="single" w:color="auto" w:sz="4" w:space="0"/>
            </w:tcBorders>
            <w:shd w:val="clear" w:color="auto" w:fill="auto"/>
            <w:tcMar>
              <w:left w:w="108" w:type="dxa"/>
              <w:right w:w="108" w:type="dxa"/>
            </w:tcMar>
            <w:vAlign w:val="center"/>
          </w:tcPr>
          <w:p w14:paraId="42F06FD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3BDDA5F1">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701B7B81">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557D817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3486856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0E97A58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261A93E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9741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653A30EC"/>
        </w:tc>
        <w:tc>
          <w:tcPr>
            <w:tcW w:w="1701" w:type="dxa"/>
            <w:vMerge w:val="continue"/>
            <w:tcBorders>
              <w:left w:val="single" w:color="auto" w:sz="4" w:space="0"/>
            </w:tcBorders>
            <w:shd w:val="clear" w:color="auto" w:fill="auto"/>
            <w:tcMar>
              <w:left w:w="108" w:type="dxa"/>
              <w:right w:w="108" w:type="dxa"/>
            </w:tcMar>
            <w:vAlign w:val="center"/>
          </w:tcPr>
          <w:p w14:paraId="2E5A63E3"/>
        </w:tc>
        <w:tc>
          <w:tcPr>
            <w:tcW w:w="2976" w:type="dxa"/>
            <w:tcBorders>
              <w:left w:val="single" w:color="auto" w:sz="4" w:space="0"/>
            </w:tcBorders>
            <w:shd w:val="clear" w:color="auto" w:fill="auto"/>
            <w:tcMar>
              <w:left w:w="108" w:type="dxa"/>
              <w:right w:w="108" w:type="dxa"/>
            </w:tcMar>
            <w:vAlign w:val="center"/>
          </w:tcPr>
          <w:p w14:paraId="4E8C4EA5">
            <w:pPr>
              <w:widowControl/>
              <w:spacing w:line="32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tcBorders>
              <w:left w:val="single" w:color="auto" w:sz="4" w:space="0"/>
            </w:tcBorders>
            <w:shd w:val="clear" w:color="auto" w:fill="auto"/>
            <w:tcMar>
              <w:left w:w="108" w:type="dxa"/>
              <w:right w:w="108" w:type="dxa"/>
            </w:tcMar>
            <w:vAlign w:val="center"/>
          </w:tcPr>
          <w:p w14:paraId="4931E26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c>
          <w:tcPr>
            <w:tcW w:w="540" w:type="dxa"/>
            <w:gridSpan w:val="2"/>
            <w:tcBorders>
              <w:left w:val="single" w:color="auto" w:sz="4" w:space="0"/>
            </w:tcBorders>
            <w:shd w:val="clear" w:color="auto" w:fill="auto"/>
            <w:tcMar>
              <w:left w:w="108" w:type="dxa"/>
              <w:right w:w="108" w:type="dxa"/>
            </w:tcMar>
            <w:vAlign w:val="center"/>
          </w:tcPr>
          <w:p w14:paraId="39F2039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234BD26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5859BCC8">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08FD8A5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56384F1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3229FDF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r>
      <w:tr w14:paraId="1DBD7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63445C46"/>
        </w:tc>
        <w:tc>
          <w:tcPr>
            <w:tcW w:w="1701" w:type="dxa"/>
            <w:vMerge w:val="restart"/>
            <w:tcBorders>
              <w:left w:val="single" w:color="auto" w:sz="4" w:space="0"/>
            </w:tcBorders>
            <w:shd w:val="clear" w:color="auto" w:fill="auto"/>
            <w:tcMar>
              <w:left w:w="108" w:type="dxa"/>
              <w:right w:w="108" w:type="dxa"/>
            </w:tcMar>
            <w:vAlign w:val="center"/>
          </w:tcPr>
          <w:p w14:paraId="3F99C283">
            <w:pPr>
              <w:widowControl/>
              <w:spacing w:line="32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tcBorders>
              <w:left w:val="single" w:color="auto" w:sz="4" w:space="0"/>
            </w:tcBorders>
            <w:shd w:val="clear" w:color="auto" w:fill="auto"/>
            <w:tcMar>
              <w:left w:w="108" w:type="dxa"/>
              <w:right w:w="108" w:type="dxa"/>
            </w:tcMar>
            <w:vAlign w:val="center"/>
          </w:tcPr>
          <w:p w14:paraId="06786FE5">
            <w:pPr>
              <w:widowControl/>
              <w:spacing w:line="32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tcBorders>
              <w:left w:val="single" w:color="auto" w:sz="4" w:space="0"/>
            </w:tcBorders>
            <w:shd w:val="clear" w:color="auto" w:fill="auto"/>
            <w:tcMar>
              <w:left w:w="108" w:type="dxa"/>
              <w:right w:w="108" w:type="dxa"/>
            </w:tcMar>
            <w:vAlign w:val="center"/>
          </w:tcPr>
          <w:p w14:paraId="3BEDDD3C">
            <w:pPr>
              <w:keepNext w:val="0"/>
              <w:keepLines w:val="0"/>
              <w:pageBreakBefore w:val="0"/>
              <w:widowControl/>
              <w:kinsoku/>
              <w:wordWrap/>
              <w:overflowPunct/>
              <w:topLinePunct w:val="0"/>
              <w:autoSpaceDE/>
              <w:autoSpaceDN/>
              <w:adjustRightInd/>
              <w:snapToGrid/>
              <w:spacing w:line="320" w:lineRule="exact"/>
              <w:jc w:val="center"/>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21</w:t>
            </w:r>
          </w:p>
        </w:tc>
        <w:tc>
          <w:tcPr>
            <w:tcW w:w="540" w:type="dxa"/>
            <w:gridSpan w:val="2"/>
            <w:tcBorders>
              <w:left w:val="single" w:color="auto" w:sz="4" w:space="0"/>
            </w:tcBorders>
            <w:shd w:val="clear" w:color="auto" w:fill="auto"/>
            <w:tcMar>
              <w:left w:w="108" w:type="dxa"/>
              <w:right w:w="108" w:type="dxa"/>
            </w:tcMar>
            <w:vAlign w:val="center"/>
          </w:tcPr>
          <w:p w14:paraId="5ACA8E1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5A043B8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6CC8690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3BC3FA1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55C3C69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0E33CDC1">
            <w:pPr>
              <w:keepNext w:val="0"/>
              <w:keepLines w:val="0"/>
              <w:pageBreakBefore w:val="0"/>
              <w:widowControl/>
              <w:kinsoku/>
              <w:wordWrap/>
              <w:overflowPunct/>
              <w:topLinePunct w:val="0"/>
              <w:autoSpaceDE/>
              <w:autoSpaceDN/>
              <w:adjustRightInd/>
              <w:snapToGrid/>
              <w:spacing w:line="320" w:lineRule="exact"/>
              <w:jc w:val="center"/>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21</w:t>
            </w:r>
          </w:p>
        </w:tc>
      </w:tr>
      <w:tr w14:paraId="67E23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473D0700"/>
        </w:tc>
        <w:tc>
          <w:tcPr>
            <w:tcW w:w="1701" w:type="dxa"/>
            <w:vMerge w:val="continue"/>
            <w:tcBorders>
              <w:left w:val="single" w:color="auto" w:sz="4" w:space="0"/>
            </w:tcBorders>
            <w:shd w:val="clear" w:color="auto" w:fill="auto"/>
            <w:tcMar>
              <w:left w:w="108" w:type="dxa"/>
              <w:right w:w="108" w:type="dxa"/>
            </w:tcMar>
            <w:vAlign w:val="center"/>
          </w:tcPr>
          <w:p w14:paraId="4B1F7AA9"/>
        </w:tc>
        <w:tc>
          <w:tcPr>
            <w:tcW w:w="2976" w:type="dxa"/>
            <w:tcBorders>
              <w:left w:val="single" w:color="auto" w:sz="4" w:space="0"/>
            </w:tcBorders>
            <w:shd w:val="clear" w:color="auto" w:fill="auto"/>
            <w:tcMar>
              <w:left w:w="108" w:type="dxa"/>
              <w:right w:w="108" w:type="dxa"/>
            </w:tcMar>
            <w:vAlign w:val="center"/>
          </w:tcPr>
          <w:p w14:paraId="6F5E412E">
            <w:pPr>
              <w:widowControl/>
              <w:spacing w:line="32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tcBorders>
              <w:left w:val="single" w:color="auto" w:sz="4" w:space="0"/>
            </w:tcBorders>
            <w:shd w:val="clear" w:color="auto" w:fill="auto"/>
            <w:tcMar>
              <w:left w:w="108" w:type="dxa"/>
              <w:right w:w="108" w:type="dxa"/>
            </w:tcMar>
            <w:vAlign w:val="center"/>
          </w:tcPr>
          <w:p w14:paraId="3FA1493B">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45F86D6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43C7C86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2DD0D6F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4B68AC5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1751749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27F1DDE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95F2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73DFAF32"/>
        </w:tc>
        <w:tc>
          <w:tcPr>
            <w:tcW w:w="1701" w:type="dxa"/>
            <w:vMerge w:val="continue"/>
            <w:tcBorders>
              <w:left w:val="single" w:color="auto" w:sz="4" w:space="0"/>
            </w:tcBorders>
            <w:shd w:val="clear" w:color="auto" w:fill="auto"/>
            <w:tcMar>
              <w:left w:w="108" w:type="dxa"/>
              <w:right w:w="108" w:type="dxa"/>
            </w:tcMar>
            <w:vAlign w:val="center"/>
          </w:tcPr>
          <w:p w14:paraId="729029E9"/>
        </w:tc>
        <w:tc>
          <w:tcPr>
            <w:tcW w:w="2976" w:type="dxa"/>
            <w:tcBorders>
              <w:left w:val="single" w:color="auto" w:sz="4" w:space="0"/>
            </w:tcBorders>
            <w:shd w:val="clear" w:color="auto" w:fill="auto"/>
            <w:tcMar>
              <w:left w:w="108" w:type="dxa"/>
              <w:right w:w="108" w:type="dxa"/>
            </w:tcMar>
            <w:vAlign w:val="center"/>
          </w:tcPr>
          <w:p w14:paraId="1F3DEED4">
            <w:pPr>
              <w:widowControl/>
              <w:spacing w:line="32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tcBorders>
              <w:left w:val="single" w:color="auto" w:sz="4" w:space="0"/>
            </w:tcBorders>
            <w:shd w:val="clear" w:color="auto" w:fill="auto"/>
            <w:tcMar>
              <w:left w:w="108" w:type="dxa"/>
              <w:right w:w="108" w:type="dxa"/>
            </w:tcMar>
            <w:vAlign w:val="center"/>
          </w:tcPr>
          <w:p w14:paraId="53FD570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5AD19D6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5733610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2EB79DF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000AFD8D">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0920E5F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756BC2A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146B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0B1DDFD3"/>
        </w:tc>
        <w:tc>
          <w:tcPr>
            <w:tcW w:w="1701" w:type="dxa"/>
            <w:vMerge w:val="restart"/>
            <w:tcBorders>
              <w:left w:val="single" w:color="auto" w:sz="4" w:space="0"/>
            </w:tcBorders>
            <w:shd w:val="clear" w:color="auto" w:fill="auto"/>
            <w:tcMar>
              <w:left w:w="108" w:type="dxa"/>
              <w:right w:w="108" w:type="dxa"/>
            </w:tcMar>
            <w:vAlign w:val="center"/>
          </w:tcPr>
          <w:p w14:paraId="26BFF3E7">
            <w:pPr>
              <w:widowControl/>
              <w:spacing w:line="32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tcBorders>
              <w:left w:val="single" w:color="auto" w:sz="4" w:space="0"/>
            </w:tcBorders>
            <w:shd w:val="clear" w:color="auto" w:fill="auto"/>
            <w:tcMar>
              <w:left w:w="108" w:type="dxa"/>
              <w:right w:w="108" w:type="dxa"/>
            </w:tcMar>
            <w:vAlign w:val="center"/>
          </w:tcPr>
          <w:p w14:paraId="6421D0F2">
            <w:pPr>
              <w:widowControl/>
              <w:spacing w:line="32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tcBorders>
              <w:left w:val="single" w:color="auto" w:sz="4" w:space="0"/>
            </w:tcBorders>
            <w:shd w:val="clear" w:color="auto" w:fill="auto"/>
            <w:tcMar>
              <w:left w:w="108" w:type="dxa"/>
              <w:right w:w="108" w:type="dxa"/>
            </w:tcMar>
            <w:vAlign w:val="center"/>
          </w:tcPr>
          <w:p w14:paraId="591E9B8B">
            <w:pPr>
              <w:keepNext w:val="0"/>
              <w:keepLines w:val="0"/>
              <w:pageBreakBefore w:val="0"/>
              <w:widowControl/>
              <w:kinsoku/>
              <w:wordWrap/>
              <w:overflowPunct/>
              <w:topLinePunct w:val="0"/>
              <w:autoSpaceDE/>
              <w:autoSpaceDN/>
              <w:adjustRightInd/>
              <w:snapToGrid/>
              <w:spacing w:line="320" w:lineRule="exact"/>
              <w:jc w:val="center"/>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7</w:t>
            </w:r>
          </w:p>
        </w:tc>
        <w:tc>
          <w:tcPr>
            <w:tcW w:w="540" w:type="dxa"/>
            <w:gridSpan w:val="2"/>
            <w:tcBorders>
              <w:left w:val="single" w:color="auto" w:sz="4" w:space="0"/>
            </w:tcBorders>
            <w:shd w:val="clear" w:color="auto" w:fill="auto"/>
            <w:tcMar>
              <w:left w:w="108" w:type="dxa"/>
              <w:right w:w="108" w:type="dxa"/>
            </w:tcMar>
            <w:vAlign w:val="center"/>
          </w:tcPr>
          <w:p w14:paraId="0B718A1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75895891">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4991D0F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13098B1B">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1FC7721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07B0261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7</w:t>
            </w:r>
          </w:p>
        </w:tc>
      </w:tr>
      <w:tr w14:paraId="2A3B4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00417ABC"/>
        </w:tc>
        <w:tc>
          <w:tcPr>
            <w:tcW w:w="1701" w:type="dxa"/>
            <w:vMerge w:val="continue"/>
            <w:tcBorders>
              <w:left w:val="single" w:color="auto" w:sz="4" w:space="0"/>
            </w:tcBorders>
            <w:shd w:val="clear" w:color="auto" w:fill="auto"/>
            <w:tcMar>
              <w:left w:w="108" w:type="dxa"/>
              <w:right w:w="108" w:type="dxa"/>
            </w:tcMar>
            <w:vAlign w:val="center"/>
          </w:tcPr>
          <w:p w14:paraId="50ABEF6D"/>
        </w:tc>
        <w:tc>
          <w:tcPr>
            <w:tcW w:w="2976" w:type="dxa"/>
            <w:tcBorders>
              <w:left w:val="single" w:color="auto" w:sz="4" w:space="0"/>
            </w:tcBorders>
            <w:shd w:val="clear" w:color="auto" w:fill="auto"/>
            <w:tcMar>
              <w:left w:w="108" w:type="dxa"/>
              <w:right w:w="108" w:type="dxa"/>
            </w:tcMar>
            <w:vAlign w:val="center"/>
          </w:tcPr>
          <w:p w14:paraId="345B5049">
            <w:pPr>
              <w:widowControl/>
              <w:spacing w:line="32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tcBorders>
              <w:left w:val="single" w:color="auto" w:sz="4" w:space="0"/>
            </w:tcBorders>
            <w:shd w:val="clear" w:color="auto" w:fill="auto"/>
            <w:tcMar>
              <w:left w:w="108" w:type="dxa"/>
              <w:right w:w="108" w:type="dxa"/>
            </w:tcMar>
            <w:vAlign w:val="center"/>
          </w:tcPr>
          <w:p w14:paraId="686A1FE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c>
          <w:tcPr>
            <w:tcW w:w="540" w:type="dxa"/>
            <w:gridSpan w:val="2"/>
            <w:tcBorders>
              <w:left w:val="single" w:color="auto" w:sz="4" w:space="0"/>
            </w:tcBorders>
            <w:shd w:val="clear" w:color="auto" w:fill="auto"/>
            <w:tcMar>
              <w:left w:w="108" w:type="dxa"/>
              <w:right w:w="108" w:type="dxa"/>
            </w:tcMar>
            <w:vAlign w:val="center"/>
          </w:tcPr>
          <w:p w14:paraId="6A10468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68E7E5C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01AB7EF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51737CD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46696BA1">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5D922050">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3</w:t>
            </w:r>
          </w:p>
        </w:tc>
      </w:tr>
      <w:tr w14:paraId="2A9AA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4D7A0E7C"/>
        </w:tc>
        <w:tc>
          <w:tcPr>
            <w:tcW w:w="1701" w:type="dxa"/>
            <w:vMerge w:val="continue"/>
            <w:tcBorders>
              <w:left w:val="single" w:color="auto" w:sz="4" w:space="0"/>
            </w:tcBorders>
            <w:shd w:val="clear" w:color="auto" w:fill="auto"/>
            <w:tcMar>
              <w:left w:w="108" w:type="dxa"/>
              <w:right w:w="108" w:type="dxa"/>
            </w:tcMar>
            <w:vAlign w:val="center"/>
          </w:tcPr>
          <w:p w14:paraId="038DE7B6"/>
        </w:tc>
        <w:tc>
          <w:tcPr>
            <w:tcW w:w="2976" w:type="dxa"/>
            <w:tcBorders>
              <w:left w:val="single" w:color="auto" w:sz="4" w:space="0"/>
            </w:tcBorders>
            <w:shd w:val="clear" w:color="auto" w:fill="auto"/>
            <w:tcMar>
              <w:left w:w="108" w:type="dxa"/>
              <w:right w:w="108" w:type="dxa"/>
            </w:tcMar>
            <w:vAlign w:val="center"/>
          </w:tcPr>
          <w:p w14:paraId="33F5BC45">
            <w:pPr>
              <w:widowControl/>
              <w:spacing w:line="32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tcBorders>
              <w:left w:val="single" w:color="auto" w:sz="4" w:space="0"/>
            </w:tcBorders>
            <w:shd w:val="clear" w:color="auto" w:fill="auto"/>
            <w:tcMar>
              <w:left w:w="108" w:type="dxa"/>
              <w:right w:w="108" w:type="dxa"/>
            </w:tcMar>
            <w:vAlign w:val="center"/>
          </w:tcPr>
          <w:p w14:paraId="6C8D238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0FAE08A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2BB2573B">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2ECC5748">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31FDE34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3E8B1BD8">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27B3BC5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55BD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16" w:type="dxa"/>
            <w:vMerge w:val="continue"/>
            <w:shd w:val="clear" w:color="auto" w:fill="auto"/>
            <w:tcMar>
              <w:left w:w="108" w:type="dxa"/>
              <w:right w:w="108" w:type="dxa"/>
            </w:tcMar>
            <w:vAlign w:val="center"/>
          </w:tcPr>
          <w:p w14:paraId="3790DA00"/>
        </w:tc>
        <w:tc>
          <w:tcPr>
            <w:tcW w:w="1701" w:type="dxa"/>
            <w:vMerge w:val="continue"/>
            <w:tcBorders>
              <w:left w:val="single" w:color="auto" w:sz="4" w:space="0"/>
            </w:tcBorders>
            <w:shd w:val="clear" w:color="auto" w:fill="auto"/>
            <w:tcMar>
              <w:left w:w="108" w:type="dxa"/>
              <w:right w:w="108" w:type="dxa"/>
            </w:tcMar>
            <w:vAlign w:val="center"/>
          </w:tcPr>
          <w:p w14:paraId="3AE775DF"/>
        </w:tc>
        <w:tc>
          <w:tcPr>
            <w:tcW w:w="2976" w:type="dxa"/>
            <w:tcBorders>
              <w:left w:val="single" w:color="auto" w:sz="4" w:space="0"/>
            </w:tcBorders>
            <w:shd w:val="clear" w:color="auto" w:fill="auto"/>
            <w:tcMar>
              <w:left w:w="108" w:type="dxa"/>
              <w:right w:w="108" w:type="dxa"/>
            </w:tcMar>
            <w:vAlign w:val="center"/>
          </w:tcPr>
          <w:p w14:paraId="1559CAFA">
            <w:pPr>
              <w:widowControl/>
              <w:spacing w:line="32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tcBorders>
              <w:left w:val="single" w:color="auto" w:sz="4" w:space="0"/>
            </w:tcBorders>
            <w:shd w:val="clear" w:color="auto" w:fill="auto"/>
            <w:tcMar>
              <w:left w:w="108" w:type="dxa"/>
              <w:right w:w="108" w:type="dxa"/>
            </w:tcMar>
            <w:vAlign w:val="center"/>
          </w:tcPr>
          <w:p w14:paraId="2672FEA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09828E1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5621882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0208612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3EA0936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3487054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28864D4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9C2F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CE1E87B"/>
        </w:tc>
        <w:tc>
          <w:tcPr>
            <w:tcW w:w="1701" w:type="dxa"/>
            <w:vMerge w:val="continue"/>
            <w:tcBorders>
              <w:left w:val="single" w:color="auto" w:sz="4" w:space="0"/>
            </w:tcBorders>
            <w:shd w:val="clear" w:color="auto" w:fill="auto"/>
            <w:tcMar>
              <w:left w:w="108" w:type="dxa"/>
              <w:right w:w="108" w:type="dxa"/>
            </w:tcMar>
            <w:vAlign w:val="center"/>
          </w:tcPr>
          <w:p w14:paraId="25B9E2CB"/>
        </w:tc>
        <w:tc>
          <w:tcPr>
            <w:tcW w:w="2976" w:type="dxa"/>
            <w:tcBorders>
              <w:left w:val="single" w:color="auto" w:sz="4" w:space="0"/>
            </w:tcBorders>
            <w:shd w:val="clear" w:color="auto" w:fill="auto"/>
            <w:tcMar>
              <w:left w:w="108" w:type="dxa"/>
              <w:right w:w="108" w:type="dxa"/>
            </w:tcMar>
            <w:vAlign w:val="center"/>
          </w:tcPr>
          <w:p w14:paraId="28E89808">
            <w:pPr>
              <w:widowControl/>
              <w:spacing w:beforeAutospacing="0" w:afterAutospacing="0" w:line="32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1A0B2460">
            <w:pPr>
              <w:widowControl/>
              <w:spacing w:beforeAutospacing="0" w:afterAutospacing="0" w:line="32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tcBorders>
              <w:left w:val="single" w:color="auto" w:sz="4" w:space="0"/>
            </w:tcBorders>
            <w:shd w:val="clear" w:color="auto" w:fill="auto"/>
            <w:tcMar>
              <w:left w:w="108" w:type="dxa"/>
              <w:right w:w="108" w:type="dxa"/>
            </w:tcMar>
            <w:vAlign w:val="center"/>
          </w:tcPr>
          <w:p w14:paraId="6F0B512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4567EE87">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45D9C8E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4C80E6DD">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040D46B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3D06C9F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0F20448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31B8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416" w:type="dxa"/>
            <w:vMerge w:val="continue"/>
            <w:shd w:val="clear" w:color="auto" w:fill="auto"/>
            <w:tcMar>
              <w:left w:w="108" w:type="dxa"/>
              <w:right w:w="108" w:type="dxa"/>
            </w:tcMar>
            <w:vAlign w:val="center"/>
          </w:tcPr>
          <w:p w14:paraId="2FC8166A"/>
        </w:tc>
        <w:tc>
          <w:tcPr>
            <w:tcW w:w="1701" w:type="dxa"/>
            <w:vMerge w:val="restart"/>
            <w:tcBorders>
              <w:left w:val="single" w:color="auto" w:sz="4" w:space="0"/>
            </w:tcBorders>
            <w:shd w:val="clear" w:color="auto" w:fill="auto"/>
            <w:tcMar>
              <w:left w:w="108" w:type="dxa"/>
              <w:right w:w="108" w:type="dxa"/>
            </w:tcMar>
            <w:vAlign w:val="center"/>
          </w:tcPr>
          <w:p w14:paraId="11B747C8">
            <w:pPr>
              <w:widowControl/>
              <w:spacing w:line="320" w:lineRule="exact"/>
              <w:rPr>
                <w:rFonts w:ascii="黑体" w:hAnsi="黑体" w:eastAsia="黑体"/>
                <w:kern w:val="0"/>
                <w:szCs w:val="21"/>
              </w:rPr>
            </w:pPr>
            <w:r>
              <w:rPr>
                <w:rFonts w:hint="eastAsia" w:ascii="黑体" w:hAnsi="黑体" w:eastAsia="黑体"/>
                <w:kern w:val="0"/>
                <w:szCs w:val="21"/>
              </w:rPr>
              <w:t>（六）其他处理</w:t>
            </w:r>
          </w:p>
        </w:tc>
        <w:tc>
          <w:tcPr>
            <w:tcW w:w="2976" w:type="dxa"/>
            <w:tcBorders>
              <w:left w:val="single" w:color="auto" w:sz="4" w:space="0"/>
            </w:tcBorders>
            <w:shd w:val="clear" w:color="auto" w:fill="auto"/>
            <w:vAlign w:val="center"/>
          </w:tcPr>
          <w:p w14:paraId="223E0B4F">
            <w:pPr>
              <w:widowControl/>
              <w:spacing w:beforeAutospacing="0" w:afterAutospacing="0" w:line="32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tcBorders>
              <w:left w:val="single" w:color="auto" w:sz="4" w:space="0"/>
            </w:tcBorders>
            <w:shd w:val="clear" w:color="auto" w:fill="auto"/>
            <w:tcMar>
              <w:left w:w="108" w:type="dxa"/>
              <w:right w:w="108" w:type="dxa"/>
            </w:tcMar>
            <w:vAlign w:val="center"/>
          </w:tcPr>
          <w:p w14:paraId="0F4758E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c>
          <w:tcPr>
            <w:tcW w:w="540" w:type="dxa"/>
            <w:gridSpan w:val="2"/>
            <w:tcBorders>
              <w:left w:val="single" w:color="auto" w:sz="4" w:space="0"/>
            </w:tcBorders>
            <w:shd w:val="clear" w:color="auto" w:fill="auto"/>
            <w:tcMar>
              <w:left w:w="108" w:type="dxa"/>
              <w:right w:w="108" w:type="dxa"/>
            </w:tcMar>
            <w:vAlign w:val="center"/>
          </w:tcPr>
          <w:p w14:paraId="1F05916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5CF0F65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2BE6C51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58F041D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55387988">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124524F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r>
      <w:tr w14:paraId="7EE96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416" w:type="dxa"/>
            <w:vMerge w:val="continue"/>
            <w:shd w:val="clear" w:color="auto" w:fill="auto"/>
            <w:tcMar>
              <w:left w:w="108" w:type="dxa"/>
              <w:right w:w="108" w:type="dxa"/>
            </w:tcMar>
            <w:vAlign w:val="center"/>
          </w:tcPr>
          <w:p w14:paraId="4B9DFD67"/>
        </w:tc>
        <w:tc>
          <w:tcPr>
            <w:tcW w:w="1701" w:type="dxa"/>
            <w:vMerge w:val="continue"/>
            <w:tcBorders>
              <w:left w:val="single" w:color="auto" w:sz="4" w:space="0"/>
            </w:tcBorders>
            <w:shd w:val="clear" w:color="auto" w:fill="auto"/>
            <w:tcMar>
              <w:left w:w="108" w:type="dxa"/>
              <w:right w:w="108" w:type="dxa"/>
            </w:tcMar>
            <w:vAlign w:val="center"/>
          </w:tcPr>
          <w:p w14:paraId="76B30DC5"/>
        </w:tc>
        <w:tc>
          <w:tcPr>
            <w:tcW w:w="2976" w:type="dxa"/>
            <w:tcBorders>
              <w:left w:val="single" w:color="auto" w:sz="4" w:space="0"/>
            </w:tcBorders>
            <w:shd w:val="clear" w:color="auto" w:fill="auto"/>
            <w:vAlign w:val="center"/>
          </w:tcPr>
          <w:p w14:paraId="002E560B">
            <w:pPr>
              <w:widowControl/>
              <w:spacing w:beforeAutospacing="0" w:afterAutospacing="0" w:line="32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tcBorders>
              <w:left w:val="single" w:color="auto" w:sz="4" w:space="0"/>
            </w:tcBorders>
            <w:shd w:val="clear" w:color="auto" w:fill="auto"/>
            <w:tcMar>
              <w:left w:w="108" w:type="dxa"/>
              <w:right w:w="108" w:type="dxa"/>
            </w:tcMar>
            <w:vAlign w:val="center"/>
          </w:tcPr>
          <w:p w14:paraId="2733AB0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623D546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6C0A2A8E">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5AB1D4E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618313B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1ABE93B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57D6D130">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3E7C4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416" w:type="dxa"/>
            <w:vMerge w:val="continue"/>
            <w:shd w:val="clear" w:color="auto" w:fill="auto"/>
            <w:tcMar>
              <w:left w:w="108" w:type="dxa"/>
              <w:right w:w="108" w:type="dxa"/>
            </w:tcMar>
            <w:vAlign w:val="center"/>
          </w:tcPr>
          <w:p w14:paraId="02015069"/>
        </w:tc>
        <w:tc>
          <w:tcPr>
            <w:tcW w:w="1701" w:type="dxa"/>
            <w:vMerge w:val="continue"/>
            <w:tcBorders>
              <w:left w:val="single" w:color="auto" w:sz="4" w:space="0"/>
            </w:tcBorders>
            <w:shd w:val="clear" w:color="auto" w:fill="auto"/>
            <w:tcMar>
              <w:left w:w="108" w:type="dxa"/>
              <w:right w:w="108" w:type="dxa"/>
            </w:tcMar>
            <w:vAlign w:val="center"/>
          </w:tcPr>
          <w:p w14:paraId="337B3D8C"/>
        </w:tc>
        <w:tc>
          <w:tcPr>
            <w:tcW w:w="2976" w:type="dxa"/>
            <w:tcBorders>
              <w:left w:val="single" w:color="auto" w:sz="4" w:space="0"/>
            </w:tcBorders>
            <w:shd w:val="clear" w:color="auto" w:fill="auto"/>
            <w:vAlign w:val="center"/>
          </w:tcPr>
          <w:p w14:paraId="7D312ECA">
            <w:pPr>
              <w:widowControl/>
              <w:spacing w:beforeAutospacing="0" w:afterAutospacing="0" w:line="320" w:lineRule="exact"/>
              <w:rPr>
                <w:rFonts w:ascii="仿宋_GB2312" w:hAnsi="黑体" w:eastAsia="仿宋_GB2312"/>
                <w:kern w:val="0"/>
                <w:szCs w:val="21"/>
              </w:rPr>
            </w:pPr>
            <w:r>
              <w:rPr>
                <w:rFonts w:hint="eastAsia" w:ascii="仿宋_GB2312" w:hAnsi="楷体" w:eastAsia="仿宋_GB2312"/>
              </w:rPr>
              <w:t>3.其他</w:t>
            </w:r>
          </w:p>
        </w:tc>
        <w:tc>
          <w:tcPr>
            <w:tcW w:w="747" w:type="dxa"/>
            <w:tcBorders>
              <w:left w:val="single" w:color="auto" w:sz="4" w:space="0"/>
            </w:tcBorders>
            <w:shd w:val="clear" w:color="auto" w:fill="auto"/>
            <w:tcMar>
              <w:left w:w="108" w:type="dxa"/>
              <w:right w:w="108" w:type="dxa"/>
            </w:tcMar>
            <w:vAlign w:val="center"/>
          </w:tcPr>
          <w:p w14:paraId="32157C50">
            <w:pPr>
              <w:keepNext w:val="0"/>
              <w:keepLines w:val="0"/>
              <w:pageBreakBefore w:val="0"/>
              <w:widowControl/>
              <w:kinsoku/>
              <w:wordWrap/>
              <w:overflowPunct/>
              <w:topLinePunct w:val="0"/>
              <w:autoSpaceDE/>
              <w:autoSpaceDN/>
              <w:adjustRightInd/>
              <w:snapToGrid/>
              <w:spacing w:line="32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15A35057">
            <w:pPr>
              <w:keepNext w:val="0"/>
              <w:keepLines w:val="0"/>
              <w:pageBreakBefore w:val="0"/>
              <w:widowControl/>
              <w:kinsoku/>
              <w:wordWrap/>
              <w:overflowPunct/>
              <w:topLinePunct w:val="0"/>
              <w:autoSpaceDE/>
              <w:autoSpaceDN/>
              <w:adjustRightInd/>
              <w:snapToGrid/>
              <w:spacing w:line="32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09215333">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444912C5">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0E8A4176">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6DCEC940">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698DEF3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lang w:val="en-US"/>
              </w:rPr>
            </w:pPr>
            <w:r>
              <w:rPr>
                <w:rFonts w:hint="eastAsia" w:ascii="仿宋_GB2312" w:hAnsi="Times New Roman" w:eastAsia="仿宋_GB2312"/>
                <w:szCs w:val="21"/>
                <w:lang w:val="en-US" w:eastAsia="zh-CN"/>
              </w:rPr>
              <w:t>0</w:t>
            </w:r>
          </w:p>
        </w:tc>
      </w:tr>
      <w:tr w14:paraId="52B32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C7E0D8"/>
        </w:tc>
        <w:tc>
          <w:tcPr>
            <w:tcW w:w="4677" w:type="dxa"/>
            <w:gridSpan w:val="2"/>
            <w:tcBorders>
              <w:left w:val="single" w:color="auto" w:sz="4" w:space="0"/>
            </w:tcBorders>
            <w:shd w:val="clear" w:color="auto" w:fill="auto"/>
            <w:tcMar>
              <w:left w:w="108" w:type="dxa"/>
              <w:right w:w="108" w:type="dxa"/>
            </w:tcMar>
            <w:vAlign w:val="center"/>
          </w:tcPr>
          <w:p w14:paraId="7473D5EE">
            <w:pPr>
              <w:widowControl/>
              <w:spacing w:beforeAutospacing="0" w:afterAutospacing="0" w:line="320" w:lineRule="exact"/>
              <w:rPr>
                <w:rFonts w:ascii="黑体" w:hAnsi="黑体" w:eastAsia="黑体"/>
                <w:kern w:val="0"/>
                <w:szCs w:val="21"/>
              </w:rPr>
            </w:pPr>
            <w:r>
              <w:rPr>
                <w:rFonts w:hint="eastAsia" w:ascii="黑体" w:hAnsi="黑体" w:eastAsia="黑体"/>
                <w:kern w:val="0"/>
                <w:szCs w:val="21"/>
              </w:rPr>
              <w:t>（七）总计</w:t>
            </w:r>
          </w:p>
        </w:tc>
        <w:tc>
          <w:tcPr>
            <w:tcW w:w="747" w:type="dxa"/>
            <w:tcBorders>
              <w:left w:val="single" w:color="auto" w:sz="4" w:space="0"/>
            </w:tcBorders>
            <w:shd w:val="clear" w:color="auto" w:fill="auto"/>
            <w:tcMar>
              <w:left w:w="108" w:type="dxa"/>
              <w:right w:w="108" w:type="dxa"/>
            </w:tcMar>
            <w:vAlign w:val="center"/>
          </w:tcPr>
          <w:p w14:paraId="14B9E4BC">
            <w:pPr>
              <w:keepNext w:val="0"/>
              <w:keepLines w:val="0"/>
              <w:pageBreakBefore w:val="0"/>
              <w:widowControl/>
              <w:kinsoku/>
              <w:wordWrap/>
              <w:overflowPunct/>
              <w:topLinePunct w:val="0"/>
              <w:autoSpaceDE/>
              <w:autoSpaceDN/>
              <w:adjustRightInd/>
              <w:snapToGrid/>
              <w:spacing w:line="320" w:lineRule="exact"/>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157</w:t>
            </w:r>
          </w:p>
        </w:tc>
        <w:tc>
          <w:tcPr>
            <w:tcW w:w="540" w:type="dxa"/>
            <w:gridSpan w:val="2"/>
            <w:tcBorders>
              <w:left w:val="single" w:color="auto" w:sz="4" w:space="0"/>
            </w:tcBorders>
            <w:shd w:val="clear" w:color="auto" w:fill="auto"/>
            <w:tcMar>
              <w:left w:w="108" w:type="dxa"/>
              <w:right w:w="108" w:type="dxa"/>
            </w:tcMar>
            <w:vAlign w:val="center"/>
          </w:tcPr>
          <w:p w14:paraId="0EEE7AFB">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749D44C1">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08D1C882">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436D994D">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5928DD3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6C4DF04B">
            <w:pPr>
              <w:keepNext w:val="0"/>
              <w:keepLines w:val="0"/>
              <w:pageBreakBefore w:val="0"/>
              <w:widowControl/>
              <w:kinsoku/>
              <w:wordWrap/>
              <w:overflowPunct/>
              <w:topLinePunct w:val="0"/>
              <w:autoSpaceDE/>
              <w:autoSpaceDN/>
              <w:adjustRightInd/>
              <w:snapToGrid/>
              <w:spacing w:line="320" w:lineRule="exact"/>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157</w:t>
            </w:r>
          </w:p>
        </w:tc>
      </w:tr>
      <w:tr w14:paraId="3D03C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47AB06">
            <w:pPr>
              <w:widowControl/>
              <w:spacing w:beforeAutospacing="0" w:afterAutospacing="0" w:line="32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tcBorders>
              <w:left w:val="single" w:color="auto" w:sz="4" w:space="0"/>
            </w:tcBorders>
            <w:shd w:val="clear" w:color="auto" w:fill="auto"/>
            <w:tcMar>
              <w:left w:w="108" w:type="dxa"/>
              <w:right w:w="108" w:type="dxa"/>
            </w:tcMar>
            <w:vAlign w:val="center"/>
          </w:tcPr>
          <w:p w14:paraId="416E3EB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6</w:t>
            </w:r>
          </w:p>
        </w:tc>
        <w:tc>
          <w:tcPr>
            <w:tcW w:w="540" w:type="dxa"/>
            <w:gridSpan w:val="2"/>
            <w:tcBorders>
              <w:left w:val="single" w:color="auto" w:sz="4" w:space="0"/>
            </w:tcBorders>
            <w:shd w:val="clear" w:color="auto" w:fill="auto"/>
            <w:tcMar>
              <w:left w:w="108" w:type="dxa"/>
              <w:right w:w="108" w:type="dxa"/>
            </w:tcMar>
            <w:vAlign w:val="center"/>
          </w:tcPr>
          <w:p w14:paraId="6BE0B70A">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tcBorders>
              <w:left w:val="single" w:color="auto" w:sz="4" w:space="0"/>
            </w:tcBorders>
            <w:shd w:val="clear" w:color="auto" w:fill="auto"/>
            <w:tcMar>
              <w:left w:w="108" w:type="dxa"/>
              <w:right w:w="108" w:type="dxa"/>
            </w:tcMar>
            <w:vAlign w:val="center"/>
          </w:tcPr>
          <w:p w14:paraId="7448C5AC">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tcBorders>
              <w:left w:val="single" w:color="auto" w:sz="4" w:space="0"/>
            </w:tcBorders>
            <w:shd w:val="clear" w:color="auto" w:fill="auto"/>
            <w:tcMar>
              <w:left w:w="108" w:type="dxa"/>
              <w:right w:w="108" w:type="dxa"/>
            </w:tcMar>
            <w:vAlign w:val="center"/>
          </w:tcPr>
          <w:p w14:paraId="5EDF9EA0">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tcBorders>
              <w:left w:val="single" w:color="auto" w:sz="4" w:space="0"/>
            </w:tcBorders>
            <w:shd w:val="clear" w:color="auto" w:fill="auto"/>
            <w:tcMar>
              <w:left w:w="108" w:type="dxa"/>
              <w:right w:w="108" w:type="dxa"/>
            </w:tcMar>
            <w:vAlign w:val="center"/>
          </w:tcPr>
          <w:p w14:paraId="015DDA99">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tcBorders>
              <w:left w:val="single" w:color="auto" w:sz="4" w:space="0"/>
            </w:tcBorders>
            <w:shd w:val="clear" w:color="auto" w:fill="auto"/>
            <w:tcMar>
              <w:left w:w="108" w:type="dxa"/>
              <w:right w:w="108" w:type="dxa"/>
            </w:tcMar>
            <w:vAlign w:val="center"/>
          </w:tcPr>
          <w:p w14:paraId="6A9E804F">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tcBorders>
              <w:left w:val="single" w:color="auto" w:sz="4" w:space="0"/>
            </w:tcBorders>
            <w:shd w:val="clear" w:color="auto" w:fill="auto"/>
            <w:tcMar>
              <w:left w:w="108" w:type="dxa"/>
              <w:right w:w="108" w:type="dxa"/>
            </w:tcMar>
            <w:vAlign w:val="center"/>
          </w:tcPr>
          <w:p w14:paraId="5288A3F4">
            <w:pPr>
              <w:keepNext w:val="0"/>
              <w:keepLines w:val="0"/>
              <w:pageBreakBefore w:val="0"/>
              <w:widowControl/>
              <w:kinsoku/>
              <w:wordWrap/>
              <w:overflowPunct/>
              <w:topLinePunct w:val="0"/>
              <w:autoSpaceDE/>
              <w:autoSpaceDN/>
              <w:adjustRightInd/>
              <w:snapToGrid/>
              <w:spacing w:line="320" w:lineRule="exact"/>
              <w:jc w:val="center"/>
              <w:rPr>
                <w:rFonts w:ascii="仿宋_GB2312" w:hAnsi="Times New Roman" w:eastAsia="仿宋_GB2312"/>
                <w:szCs w:val="21"/>
                <w:lang w:val="en-US"/>
              </w:rPr>
            </w:pPr>
            <w:r>
              <w:rPr>
                <w:rFonts w:hint="eastAsia" w:ascii="仿宋_GB2312" w:hAnsi="Times New Roman" w:eastAsia="仿宋_GB2312"/>
                <w:szCs w:val="21"/>
                <w:lang w:val="en-US" w:eastAsia="zh-CN"/>
              </w:rPr>
              <w:t>6</w:t>
            </w:r>
          </w:p>
        </w:tc>
      </w:tr>
    </w:tbl>
    <w:p w14:paraId="5C5DC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2"/>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86A72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060128C">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F72F4F">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14:paraId="58F309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069968">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693A5619">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29866D3">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961F3D9">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30C73C8">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75F6C134">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4D5DCD">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14:paraId="2787EAA4">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3D4719">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292010">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14:paraId="1E4902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C81754">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EC9FEE3">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1336DC">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46620D">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AC1744">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B9C056">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CCE5E0B">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EB818C">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6C1514A2">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3FEB52">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401D3631">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22676C">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F103D5">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30921">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003A734C">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5A10D6">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3C021E3A">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8BE551">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CEBA06">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14:paraId="77C8FA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1ADA2D">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ADBFF3B">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4</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A7E4A93">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4</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75A7D64">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7D2F510F">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19</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0531036">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44FCB8">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75DE403">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B7D67D4">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1E3937">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DEFDB01">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CED63B4">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00EF29E">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D937407">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31455A5">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r>
    </w:tbl>
    <w:p w14:paraId="60ED0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五、存在的主要问题及改进情况</w:t>
      </w:r>
    </w:p>
    <w:p w14:paraId="22C780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本年度政务公开工作虽然取得了积极成效，但是也</w:t>
      </w:r>
      <w:r>
        <w:rPr>
          <w:rFonts w:hint="default" w:ascii="仿宋_GB2312" w:hAnsi="仿宋_GB2312" w:eastAsia="仿宋_GB2312" w:cs="仿宋_GB2312"/>
          <w:sz w:val="32"/>
          <w:szCs w:val="32"/>
          <w:lang w:eastAsia="zh-CN"/>
        </w:rPr>
        <w:t>存在</w:t>
      </w:r>
      <w:r>
        <w:rPr>
          <w:rFonts w:hint="eastAsia" w:ascii="仿宋_GB2312" w:hAnsi="仿宋_GB2312" w:eastAsia="仿宋_GB2312" w:cs="仿宋_GB2312"/>
          <w:sz w:val="32"/>
          <w:szCs w:val="32"/>
          <w:lang w:val="en-US" w:eastAsia="zh-CN"/>
        </w:rPr>
        <w:t>一些不足，如政府信息管理不够严格，政府网站发布信息存在错敏字词、错链、断链、空白页面等问题；依申请公开答复有待进一步规范，因政府信息公开申请答复引发的行政复议、诉讼数量较多。</w:t>
      </w:r>
    </w:p>
    <w:p w14:paraId="348FA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针对以上问题，</w:t>
      </w:r>
      <w:r>
        <w:rPr>
          <w:rFonts w:hint="eastAsia" w:ascii="仿宋_GB2312" w:hAnsi="仿宋_GB2312" w:eastAsia="仿宋_GB2312" w:cs="仿宋_GB2312"/>
          <w:sz w:val="32"/>
          <w:szCs w:val="32"/>
          <w:lang w:val="en-US" w:eastAsia="zh-CN"/>
        </w:rPr>
        <w:t>将采取以下改进措施</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严格落实“三审三校”审核制度，遵循“谁公开谁审查、谁审查谁负责”“先审查、后公开”的原则，严格落实信息发布审核制度，加大政府网站、政务新媒体日常监测力度，确保信息发布权威准确。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有针对性地围绕依申请公开办理、行政复议与行政诉讼等重点难点工作开展政府信息公开业务培训，梳理一批依申请公开典型案例，便于工作人员交流学习，提高办理工作效率和质量。</w:t>
      </w:r>
    </w:p>
    <w:p w14:paraId="3AB9E5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六、其他需要报告的事项</w:t>
      </w:r>
    </w:p>
    <w:p w14:paraId="15FAA1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（一）依申请公开信息处理费收费情况。</w:t>
      </w:r>
    </w:p>
    <w:p w14:paraId="5AEA4A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本年度未收取信息公开处理费。</w:t>
      </w:r>
    </w:p>
    <w:p w14:paraId="4483BF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（二）落实上级年度政务公开工作要点情况。</w:t>
      </w:r>
    </w:p>
    <w:p w14:paraId="48B665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临沂市人民政府办公室关于印发2024年临沂市政务公开工作要点的通知》（临政办字〔2024〕39号），制发《郯城县人民政府办公室关于印发2024年郯城县政务公开工作要点的通知》（郯政办字〔2024〕16号），将本年度重点工作任务分解为规范公开信息、推进政策解读、扩大公众参与等方面，不断提升全县政务公开工作质效。</w:t>
      </w:r>
    </w:p>
    <w:p w14:paraId="36A9B5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一是规范推进政务公开。</w:t>
      </w:r>
      <w:r>
        <w:rPr>
          <w:rFonts w:hint="eastAsia" w:ascii="仿宋_GB2312" w:hAnsi="仿宋_GB2312" w:eastAsia="仿宋_GB2312" w:cs="仿宋_GB2312"/>
          <w:sz w:val="32"/>
          <w:szCs w:val="32"/>
          <w:lang w:val="en-US" w:eastAsia="zh-CN"/>
        </w:rPr>
        <w:t>加强政府信息管理，全过程公开重大行政决策2件，实现决策草案、草案解读、意见征集、专家论证、风险评估和意见反馈等环节“一站式”归集，进一步提升重大行政决策公开科学化、规范化水平，方便社会公众查阅监督；全领域公开社会救助、义务教育、社会福利、稳岗就业、医疗卫生等群众关心关切的重点信息2254条，合理设置专栏，在网站突出位置展示，方便群众查询知晓；不断完善机构职能、规划计划等法定信息公开方式，按时发布规划类信息39条，人大政协建议提案办理结果185条，自觉接受社会监督；针对群众企业关心关注的重要政策，组织政府部门、专家学者、代表委员、群众企业等多层面参与解读39次，集中打造政策解读精品。全方位畅通政民互动渠道，开展“郯城县5·15政务公开日”“2024年郯城县政府开放月”活动，36家单位参与，互动群众累计1000余人。通过社情民意征集栏目发布问卷调查16条，切实拉近政府与群众的距离。</w:t>
      </w:r>
    </w:p>
    <w:p w14:paraId="39ECB9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二是增强公开服务力度。</w:t>
      </w:r>
      <w:r>
        <w:rPr>
          <w:rFonts w:hint="eastAsia" w:ascii="仿宋_GB2312" w:hAnsi="仿宋_GB2312" w:eastAsia="仿宋_GB2312" w:cs="仿宋_GB2312"/>
          <w:sz w:val="32"/>
          <w:szCs w:val="32"/>
          <w:lang w:val="en-US" w:eastAsia="zh-CN"/>
        </w:rPr>
        <w:t>深度融合政务公开与政务服务。规范政务公开专区建设，整合政务公开专区的现有资源，升级打造集政府信息查询、服务事项办理、政府信息公开申请等功能于一体的线下公开服务平台，全力提供方便快捷的政府信息服务；开设“一件事”线上专栏，聚焦企业和群众急难愁盼，打造“指尖上的办事”场景，形成“线上一网通办、线下一窗受理”的一体化集成服务模式，公示服务清单20余项，解答群众政策咨询1200余次；不断提升依申请公开为民服务水平，已在网站主动公开的信息，提供“网站链接+二维码”模式，方便申请人接收相关信息；申请内容复杂的，主动与申请人沟通交流，审慎使用补正和收费，尽可能一次性提供合理化告知申请人所需信息。</w:t>
      </w:r>
    </w:p>
    <w:p w14:paraId="10EB96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三是夯实公开工作基础。</w:t>
      </w:r>
      <w:r>
        <w:rPr>
          <w:rFonts w:hint="eastAsia" w:ascii="仿宋_GB2312" w:hAnsi="仿宋_GB2312" w:eastAsia="仿宋_GB2312" w:cs="仿宋_GB2312"/>
          <w:sz w:val="32"/>
          <w:szCs w:val="32"/>
          <w:lang w:val="en-US" w:eastAsia="zh-CN"/>
        </w:rPr>
        <w:t>以编制完成的主动公开基本目录和基层政务公开事项标准目录为基础，全面梳理法律法规、规章中关于主动公开信息的规定，确定法定公开事项，切实做到法定公开事项主动公开到位，其他事项审慎主动公开。定期排查政务新媒体，规范账号开设流程，严格落实备案、审核、开通、注销等流程要求，确保政务新媒体账号管理规范有序。坚决纠治“指尖上的形式主义”。按季度开展政务新媒体清理工作，2024年集中关停9个“僵尸类”“空壳类”政务新媒体。加强政务公开有关政策理论学习和业务研究，召开全县政务公开工作会议1次，把握政策精神，增强专业素养，学习典型案例。</w:t>
      </w:r>
    </w:p>
    <w:p w14:paraId="70291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（三）本年度建议、提案办理情况。</w:t>
      </w:r>
    </w:p>
    <w:p w14:paraId="755438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本年度共办理县十九届人大</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次会议人大代表建议87件、县政协十一届</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次会议政协委员提案</w:t>
      </w:r>
      <w:r>
        <w:rPr>
          <w:rFonts w:hint="eastAsia" w:ascii="Times New Roman" w:hAnsi="Times New Roman" w:eastAsia="仿宋_GB2312" w:cs="Times New Roman"/>
          <w:sz w:val="32"/>
          <w:szCs w:val="32"/>
          <w:lang w:val="en-US" w:eastAsia="zh-CN"/>
        </w:rPr>
        <w:t>138</w:t>
      </w:r>
      <w:r>
        <w:rPr>
          <w:rFonts w:hint="default" w:ascii="Times New Roman" w:hAnsi="Times New Roman" w:eastAsia="仿宋_GB2312" w:cs="Times New Roman"/>
          <w:sz w:val="32"/>
          <w:szCs w:val="32"/>
          <w:lang w:val="en-US" w:eastAsia="zh-CN"/>
        </w:rPr>
        <w:t>件，回复率100%，代表委员满意率100%。除依法不予公开的，所有建议提案办理复文或摘要以及办理总体情况均在郯城县人大代表建议政协委员提案办理结果公开平台予以公开。同时，公开内容均明确了会议届次、编号、案由等要素，方便公众检索和查询。</w:t>
      </w:r>
    </w:p>
    <w:p w14:paraId="0F13EA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（四）在政务公开方面的创新情况。</w:t>
      </w:r>
    </w:p>
    <w:p w14:paraId="0C57BD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宋体" w:cs="宋体"/>
          <w:i w:val="0"/>
          <w:caps w:val="0"/>
          <w:smallCaps w:val="0"/>
          <w:snapToGrid w:val="0"/>
          <w:color w:val="0000FF"/>
          <w:spacing w:val="0"/>
          <w:kern w:val="2"/>
          <w:sz w:val="24"/>
          <w:szCs w:val="24"/>
          <w:shd w:val="clear" w:color="auto" w:fill="FFFFFF"/>
          <w:lang w:val="en-US" w:eastAsia="zh-CN" w:bidi="ar-SA"/>
        </w:rPr>
      </w:pPr>
      <w:r>
        <w:rPr>
          <w:rFonts w:hint="eastAsia" w:ascii="仿宋_GB2312" w:hAnsi="仿宋_GB2312" w:eastAsia="仿宋_GB2312" w:cs="仿宋_GB2312"/>
          <w:sz w:val="32"/>
          <w:szCs w:val="32"/>
          <w:lang w:val="en-US" w:eastAsia="zh-CN"/>
        </w:rPr>
        <w:t>本年度我县以探索打造特色专区品牌为目标，以服务群众、方便群众为宗旨，升级县级政务公开专区，实现政府信息“零距离推送、全方位覆盖”实现专区建设“三个一”，打造“一码通”“一站式”“一张表”模式。</w:t>
      </w:r>
    </w:p>
    <w:p w14:paraId="5F0F37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码通”打造智能查询。按照推进政务公开专区建设工作有关要求，在县政务服务大厅升级建设政务公开专区。设置政策资料查阅区，梳理摆放政府公报、便民服务手册等材料，让群众可以现场查阅。设置二维码服务区，集中张贴十大民生工程、重大建设项目、公共企事业单位、财政预决算、政策文件库等二维码，形成二维码矩阵，实现群众一扫“码上告知”。</w:t>
      </w:r>
    </w:p>
    <w:p w14:paraId="74EA25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站式”提升办事体验。运用政务大厅便民服务岗，安排人员提供现场办件指引、业务咨询、投诉建议等服务，及时解答群众办事中遇到的困难与问题。建立政务公开综合查询平台，按照信息、文件、服务分类，汇聚政策文件、政策解读、办事指南等信息5万余条，实现政务信息一键直达、精准推送。设置公众意见征集区，及时收集公众意见反馈，进一步提升公众办事体验。</w:t>
      </w:r>
    </w:p>
    <w:p w14:paraId="3B11BF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张表”快捷依申请受理。设置信息公开申请区，配备电脑、桌椅、打印机，提供《政府信息公开指南》《依申请公开流程图》以及《依申请公开政府信息申请书》样表，方便群众通过政府网站+提交申请书等线上线下渠道，现场提交申请，以依申请的方式让群众获取想要了解的政府信息，实现群众了解政府工作“零障碍”“零距离”。</w:t>
      </w:r>
    </w:p>
    <w:p w14:paraId="339C3161"/>
    <w:sectPr>
      <w:pgSz w:w="11906" w:h="16838"/>
      <w:pgMar w:top="181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347E5"/>
    <w:rsid w:val="08E21563"/>
    <w:rsid w:val="1E854E11"/>
    <w:rsid w:val="3D5319FB"/>
    <w:rsid w:val="59FD19E8"/>
    <w:rsid w:val="64A347E5"/>
    <w:rsid w:val="6BFD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4589</Words>
  <Characters>4795</Characters>
  <Lines>0</Lines>
  <Paragraphs>0</Paragraphs>
  <TotalTime>86</TotalTime>
  <ScaleCrop>false</ScaleCrop>
  <LinksUpToDate>false</LinksUpToDate>
  <CharactersWithSpaces>4802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2025-02-13T02:49:00Z</dcterms:created>
  <dc:creator>1232</dc:creator>
  <cp:lastModifiedBy>1232</cp:lastModifiedBy>
  <dcterms:modified xsi:type="dcterms:W3CDTF">2025-04-29T01:59:29Z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0192C5AA66004BBCBA2E4E66C9C3B9C6_13</vt:lpwstr>
  </property>
  <property fmtid="{D5CDD505-2E9C-101B-9397-08002B2CF9AE}" pid="4" name="KSOTemplateDocerSaveRecord">
    <vt:lpwstr>eyJoZGlkIjoiOWZmMDQ1OGE0NTUxMGE3MGNjMDU3ZDY0ZDA2ZTEzMWEiLCJ1c2VySWQiOiIyNDU2MjcxODcifQ==</vt:lpwstr>
  </property>
</Properties>
</file>