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8"/>
        <w:rPr>
          <w:rFonts w:hint="eastAsia" w:ascii="黑体" w:eastAsia="黑体"/>
        </w:rPr>
      </w:pPr>
      <w:bookmarkStart w:id="0" w:name="_GoBack"/>
      <w:bookmarkEnd w:id="0"/>
      <w:r>
        <w:rPr>
          <w:rFonts w:hint="eastAsia" w:ascii="黑体" w:eastAsia="黑体"/>
        </w:rPr>
        <w:t>附件：</w:t>
      </w:r>
    </w:p>
    <w:p>
      <w:pPr>
        <w:pStyle w:val="3"/>
        <w:spacing w:before="5"/>
        <w:rPr>
          <w:rFonts w:ascii="黑体"/>
          <w:sz w:val="61"/>
        </w:rPr>
      </w:pPr>
      <w:r>
        <w:br w:type="column"/>
      </w:r>
    </w:p>
    <w:p>
      <w:pPr>
        <w:spacing w:before="0"/>
        <w:ind w:left="226" w:right="0" w:firstLine="0"/>
        <w:jc w:val="left"/>
        <w:rPr>
          <w:sz w:val="36"/>
        </w:rPr>
      </w:pPr>
      <w:r>
        <w:rPr>
          <w:sz w:val="36"/>
        </w:rPr>
        <w:t>全县集中式饮用水水源地规范化建设任务汇总表</w:t>
      </w:r>
    </w:p>
    <w:p>
      <w:pPr>
        <w:spacing w:after="0"/>
        <w:jc w:val="left"/>
        <w:rPr>
          <w:sz w:val="36"/>
        </w:rPr>
        <w:sectPr>
          <w:footerReference r:id="rId5" w:type="default"/>
          <w:footerReference r:id="rId6" w:type="even"/>
          <w:type w:val="continuous"/>
          <w:pgSz w:w="16840" w:h="11910" w:orient="landscape"/>
          <w:pgMar w:top="1580" w:right="1320" w:bottom="1160" w:left="1360" w:header="720" w:footer="720" w:gutter="0"/>
          <w:cols w:equalWidth="0" w:num="2">
            <w:col w:w="1388" w:space="1492"/>
            <w:col w:w="11280"/>
          </w:cols>
        </w:sectPr>
      </w:pPr>
    </w:p>
    <w:p>
      <w:pPr>
        <w:pStyle w:val="3"/>
        <w:spacing w:before="8"/>
        <w:rPr>
          <w:sz w:val="8"/>
        </w:rPr>
      </w:pPr>
    </w:p>
    <w:tbl>
      <w:tblPr>
        <w:tblStyle w:val="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020"/>
        <w:gridCol w:w="1185"/>
        <w:gridCol w:w="3510"/>
        <w:gridCol w:w="4976"/>
        <w:gridCol w:w="1252"/>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2" w:type="dxa"/>
          </w:tcPr>
          <w:p>
            <w:pPr>
              <w:pStyle w:val="8"/>
              <w:spacing w:before="7"/>
              <w:ind w:left="176"/>
              <w:rPr>
                <w:rFonts w:hint="eastAsia" w:ascii="黑体" w:eastAsia="黑体"/>
                <w:sz w:val="24"/>
              </w:rPr>
            </w:pPr>
            <w:r>
              <w:rPr>
                <w:rFonts w:hint="eastAsia" w:ascii="黑体" w:eastAsia="黑体"/>
                <w:sz w:val="24"/>
              </w:rPr>
              <w:t>序</w:t>
            </w:r>
          </w:p>
          <w:p>
            <w:pPr>
              <w:pStyle w:val="8"/>
              <w:spacing w:before="11" w:line="292" w:lineRule="exact"/>
              <w:ind w:left="176"/>
              <w:rPr>
                <w:rFonts w:hint="eastAsia" w:ascii="黑体" w:eastAsia="黑体"/>
                <w:sz w:val="24"/>
              </w:rPr>
            </w:pPr>
            <w:r>
              <w:rPr>
                <w:rFonts w:hint="eastAsia" w:ascii="黑体" w:eastAsia="黑体"/>
                <w:sz w:val="24"/>
              </w:rPr>
              <w:t>号</w:t>
            </w:r>
          </w:p>
        </w:tc>
        <w:tc>
          <w:tcPr>
            <w:tcW w:w="1020" w:type="dxa"/>
          </w:tcPr>
          <w:p>
            <w:pPr>
              <w:pStyle w:val="8"/>
              <w:spacing w:before="165"/>
              <w:ind w:left="208"/>
              <w:rPr>
                <w:rFonts w:hint="eastAsia" w:ascii="黑体" w:eastAsia="黑体"/>
                <w:sz w:val="24"/>
              </w:rPr>
            </w:pPr>
            <w:r>
              <w:rPr>
                <w:rFonts w:hint="eastAsia" w:ascii="黑体" w:eastAsia="黑体"/>
                <w:sz w:val="24"/>
              </w:rPr>
              <w:t>名称</w:t>
            </w:r>
          </w:p>
        </w:tc>
        <w:tc>
          <w:tcPr>
            <w:tcW w:w="1185" w:type="dxa"/>
          </w:tcPr>
          <w:p>
            <w:pPr>
              <w:pStyle w:val="8"/>
              <w:spacing w:before="165"/>
              <w:ind w:left="112"/>
              <w:rPr>
                <w:rFonts w:hint="eastAsia" w:ascii="黑体" w:eastAsia="黑体"/>
                <w:sz w:val="24"/>
              </w:rPr>
            </w:pPr>
            <w:r>
              <w:rPr>
                <w:rFonts w:hint="eastAsia" w:ascii="黑体" w:eastAsia="黑体"/>
                <w:sz w:val="24"/>
              </w:rPr>
              <w:t>问题类型</w:t>
            </w:r>
          </w:p>
        </w:tc>
        <w:tc>
          <w:tcPr>
            <w:tcW w:w="3510" w:type="dxa"/>
          </w:tcPr>
          <w:p>
            <w:pPr>
              <w:pStyle w:val="8"/>
              <w:spacing w:before="165"/>
              <w:ind w:right="1263"/>
              <w:jc w:val="right"/>
              <w:rPr>
                <w:rFonts w:hint="eastAsia" w:ascii="黑体" w:eastAsia="黑体"/>
                <w:sz w:val="24"/>
              </w:rPr>
            </w:pPr>
            <w:r>
              <w:rPr>
                <w:rFonts w:hint="eastAsia" w:ascii="黑体" w:eastAsia="黑体"/>
                <w:sz w:val="24"/>
              </w:rPr>
              <w:t>具体问题</w:t>
            </w:r>
          </w:p>
        </w:tc>
        <w:tc>
          <w:tcPr>
            <w:tcW w:w="4976" w:type="dxa"/>
          </w:tcPr>
          <w:p>
            <w:pPr>
              <w:pStyle w:val="8"/>
              <w:spacing w:before="165"/>
              <w:ind w:left="1648"/>
              <w:rPr>
                <w:rFonts w:hint="eastAsia" w:ascii="黑体" w:eastAsia="黑体"/>
                <w:sz w:val="24"/>
              </w:rPr>
            </w:pPr>
            <w:r>
              <w:rPr>
                <w:rFonts w:hint="eastAsia" w:ascii="黑体" w:eastAsia="黑体"/>
                <w:sz w:val="24"/>
              </w:rPr>
              <w:t>整改措施及完成时限</w:t>
            </w:r>
          </w:p>
        </w:tc>
        <w:tc>
          <w:tcPr>
            <w:tcW w:w="1252" w:type="dxa"/>
          </w:tcPr>
          <w:p>
            <w:pPr>
              <w:pStyle w:val="8"/>
              <w:spacing w:before="165"/>
              <w:ind w:left="144"/>
              <w:rPr>
                <w:rFonts w:hint="eastAsia" w:ascii="黑体" w:eastAsia="黑体"/>
                <w:sz w:val="24"/>
              </w:rPr>
            </w:pPr>
            <w:r>
              <w:rPr>
                <w:rFonts w:hint="eastAsia" w:ascii="黑体" w:eastAsia="黑体"/>
                <w:sz w:val="24"/>
              </w:rPr>
              <w:t>牵头单位</w:t>
            </w:r>
          </w:p>
        </w:tc>
        <w:tc>
          <w:tcPr>
            <w:tcW w:w="1377" w:type="dxa"/>
          </w:tcPr>
          <w:p>
            <w:pPr>
              <w:pStyle w:val="8"/>
              <w:spacing w:before="165"/>
              <w:ind w:left="208"/>
              <w:rPr>
                <w:rFonts w:hint="eastAsia" w:ascii="黑体" w:eastAsia="黑体"/>
                <w:sz w:val="24"/>
              </w:rPr>
            </w:pPr>
            <w:r>
              <w:rPr>
                <w:rFonts w:hint="eastAsia" w:ascii="黑体" w:eastAsia="黑体"/>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92" w:type="dxa"/>
            <w:vMerge w:val="restart"/>
          </w:tcPr>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spacing w:before="12"/>
              <w:rPr>
                <w:rFonts w:ascii="宋体"/>
                <w:sz w:val="23"/>
              </w:rPr>
            </w:pPr>
          </w:p>
          <w:p>
            <w:pPr>
              <w:pStyle w:val="8"/>
              <w:ind w:left="11"/>
              <w:jc w:val="center"/>
              <w:rPr>
                <w:sz w:val="24"/>
              </w:rPr>
            </w:pPr>
            <w:r>
              <w:rPr>
                <w:sz w:val="24"/>
              </w:rPr>
              <w:t>1</w:t>
            </w:r>
          </w:p>
        </w:tc>
        <w:tc>
          <w:tcPr>
            <w:tcW w:w="1020" w:type="dxa"/>
            <w:vMerge w:val="restart"/>
          </w:tcPr>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spacing w:before="1"/>
              <w:rPr>
                <w:rFonts w:ascii="宋体"/>
                <w:sz w:val="22"/>
              </w:rPr>
            </w:pPr>
          </w:p>
          <w:p>
            <w:pPr>
              <w:pStyle w:val="8"/>
              <w:spacing w:line="249" w:lineRule="auto"/>
              <w:ind w:left="148" w:right="139"/>
              <w:jc w:val="both"/>
              <w:rPr>
                <w:sz w:val="24"/>
              </w:rPr>
            </w:pPr>
            <w:r>
              <w:rPr>
                <w:sz w:val="24"/>
              </w:rPr>
              <w:t>郯城县水务公司第一水厂水源地</w:t>
            </w:r>
          </w:p>
        </w:tc>
        <w:tc>
          <w:tcPr>
            <w:tcW w:w="1185" w:type="dxa"/>
          </w:tcPr>
          <w:p>
            <w:pPr>
              <w:pStyle w:val="8"/>
              <w:spacing w:before="211" w:line="249" w:lineRule="auto"/>
              <w:ind w:left="472" w:right="100" w:hanging="360"/>
              <w:rPr>
                <w:sz w:val="24"/>
              </w:rPr>
            </w:pPr>
            <w:r>
              <w:rPr>
                <w:sz w:val="24"/>
              </w:rPr>
              <w:t>保护区建设</w:t>
            </w:r>
          </w:p>
        </w:tc>
        <w:tc>
          <w:tcPr>
            <w:tcW w:w="3510" w:type="dxa"/>
          </w:tcPr>
          <w:p>
            <w:pPr>
              <w:pStyle w:val="8"/>
              <w:spacing w:before="52" w:line="249" w:lineRule="auto"/>
              <w:ind w:left="108" w:right="96"/>
              <w:jc w:val="both"/>
              <w:rPr>
                <w:sz w:val="24"/>
              </w:rPr>
            </w:pPr>
            <w:r>
              <w:rPr>
                <w:spacing w:val="-9"/>
                <w:sz w:val="24"/>
              </w:rPr>
              <w:t>保护区内界标、交通警示牌、宣</w:t>
            </w:r>
            <w:r>
              <w:rPr>
                <w:spacing w:val="-8"/>
                <w:sz w:val="24"/>
              </w:rPr>
              <w:t>传牌等标志数量偏少，部分标志</w:t>
            </w:r>
            <w:r>
              <w:rPr>
                <w:sz w:val="24"/>
              </w:rPr>
              <w:t>内容不规范。</w:t>
            </w:r>
          </w:p>
        </w:tc>
        <w:tc>
          <w:tcPr>
            <w:tcW w:w="4976" w:type="dxa"/>
          </w:tcPr>
          <w:p>
            <w:pPr>
              <w:pStyle w:val="8"/>
              <w:spacing w:before="211" w:line="249" w:lineRule="auto"/>
              <w:ind w:left="107" w:right="296"/>
              <w:rPr>
                <w:sz w:val="24"/>
              </w:rPr>
            </w:pPr>
            <w:r>
              <w:rPr>
                <w:sz w:val="24"/>
              </w:rPr>
              <w:t>查漏补缺、规范统一设置保护区标志，2019年底前完成。</w:t>
            </w:r>
          </w:p>
        </w:tc>
        <w:tc>
          <w:tcPr>
            <w:tcW w:w="1252" w:type="dxa"/>
          </w:tcPr>
          <w:p>
            <w:pPr>
              <w:pStyle w:val="8"/>
              <w:rPr>
                <w:rFonts w:ascii="宋体"/>
                <w:sz w:val="29"/>
              </w:rPr>
            </w:pPr>
          </w:p>
          <w:p>
            <w:pPr>
              <w:pStyle w:val="8"/>
              <w:ind w:left="144"/>
              <w:rPr>
                <w:sz w:val="24"/>
              </w:rPr>
            </w:pPr>
            <w:r>
              <w:rPr>
                <w:sz w:val="24"/>
              </w:rPr>
              <w:t>县环保局</w:t>
            </w:r>
          </w:p>
        </w:tc>
        <w:tc>
          <w:tcPr>
            <w:tcW w:w="1377" w:type="dxa"/>
          </w:tcPr>
          <w:p>
            <w:pPr>
              <w:pStyle w:val="8"/>
              <w:spacing w:before="211" w:line="249" w:lineRule="auto"/>
              <w:ind w:left="568" w:right="196" w:hanging="360"/>
              <w:rPr>
                <w:sz w:val="24"/>
              </w:rPr>
            </w:pP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60" w:line="249" w:lineRule="auto"/>
              <w:ind w:left="472" w:right="100" w:hanging="360"/>
              <w:rPr>
                <w:sz w:val="24"/>
              </w:rPr>
            </w:pPr>
            <w:r>
              <w:rPr>
                <w:sz w:val="24"/>
              </w:rPr>
              <w:t>保护区整治</w:t>
            </w:r>
          </w:p>
        </w:tc>
        <w:tc>
          <w:tcPr>
            <w:tcW w:w="3510" w:type="dxa"/>
          </w:tcPr>
          <w:p>
            <w:pPr>
              <w:pStyle w:val="8"/>
              <w:spacing w:before="60" w:line="249" w:lineRule="auto"/>
              <w:ind w:left="108" w:right="24"/>
              <w:rPr>
                <w:sz w:val="24"/>
              </w:rPr>
            </w:pPr>
            <w:r>
              <w:rPr>
                <w:sz w:val="24"/>
              </w:rPr>
              <w:t>保护区内存在北关社区、龙泉国际等多处居民楼。</w:t>
            </w:r>
          </w:p>
        </w:tc>
        <w:tc>
          <w:tcPr>
            <w:tcW w:w="4976" w:type="dxa"/>
          </w:tcPr>
          <w:p>
            <w:pPr>
              <w:pStyle w:val="8"/>
              <w:spacing w:before="60" w:line="249" w:lineRule="auto"/>
              <w:ind w:left="107" w:right="-29"/>
              <w:rPr>
                <w:sz w:val="24"/>
              </w:rPr>
            </w:pPr>
            <w:r>
              <w:rPr>
                <w:sz w:val="24"/>
              </w:rPr>
              <w:t>加强保护区城区配套管网建设及雨污分流改造</w:t>
            </w:r>
            <w:r>
              <w:rPr>
                <w:spacing w:val="-22"/>
                <w:sz w:val="24"/>
              </w:rPr>
              <w:t>，实现污水全收集全处理，</w:t>
            </w:r>
            <w:r>
              <w:rPr>
                <w:sz w:val="24"/>
              </w:rPr>
              <w:t>2019</w:t>
            </w:r>
            <w:r>
              <w:rPr>
                <w:spacing w:val="-9"/>
                <w:sz w:val="24"/>
              </w:rPr>
              <w:t>年底前完成。</w:t>
            </w:r>
          </w:p>
        </w:tc>
        <w:tc>
          <w:tcPr>
            <w:tcW w:w="1252" w:type="dxa"/>
          </w:tcPr>
          <w:p>
            <w:pPr>
              <w:pStyle w:val="8"/>
              <w:spacing w:before="1"/>
              <w:rPr>
                <w:rFonts w:ascii="宋体"/>
                <w:sz w:val="17"/>
              </w:rPr>
            </w:pPr>
          </w:p>
          <w:p>
            <w:pPr>
              <w:pStyle w:val="8"/>
              <w:ind w:left="144"/>
              <w:rPr>
                <w:sz w:val="24"/>
              </w:rPr>
            </w:pPr>
            <w:r>
              <w:rPr>
                <w:sz w:val="24"/>
              </w:rPr>
              <w:t>县住建局</w:t>
            </w:r>
          </w:p>
        </w:tc>
        <w:tc>
          <w:tcPr>
            <w:tcW w:w="1377" w:type="dxa"/>
          </w:tcPr>
          <w:p>
            <w:pPr>
              <w:pStyle w:val="8"/>
              <w:spacing w:before="60" w:line="249" w:lineRule="auto"/>
              <w:ind w:left="568" w:right="196" w:hanging="360"/>
              <w:rPr>
                <w:sz w:val="24"/>
              </w:rPr>
            </w:pP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6"/>
              <w:rPr>
                <w:rFonts w:ascii="宋体"/>
                <w:sz w:val="32"/>
              </w:rPr>
            </w:pPr>
          </w:p>
          <w:p>
            <w:pPr>
              <w:pStyle w:val="8"/>
              <w:spacing w:line="249" w:lineRule="auto"/>
              <w:ind w:left="352" w:right="100" w:hanging="240"/>
              <w:rPr>
                <w:sz w:val="24"/>
              </w:rPr>
            </w:pPr>
            <w:r>
              <w:rPr>
                <w:sz w:val="24"/>
              </w:rPr>
              <w:t>监控能力建设</w:t>
            </w:r>
          </w:p>
        </w:tc>
        <w:tc>
          <w:tcPr>
            <w:tcW w:w="3510" w:type="dxa"/>
          </w:tcPr>
          <w:p>
            <w:pPr>
              <w:pStyle w:val="8"/>
              <w:spacing w:before="6"/>
              <w:rPr>
                <w:rFonts w:ascii="宋体"/>
                <w:sz w:val="32"/>
              </w:rPr>
            </w:pPr>
          </w:p>
          <w:p>
            <w:pPr>
              <w:pStyle w:val="8"/>
              <w:spacing w:line="249" w:lineRule="auto"/>
              <w:ind w:left="108" w:right="24"/>
              <w:rPr>
                <w:sz w:val="24"/>
              </w:rPr>
            </w:pPr>
            <w:r>
              <w:rPr>
                <w:sz w:val="24"/>
              </w:rPr>
              <w:t>常规监测频次不规范；缺少全指标监测。</w:t>
            </w:r>
          </w:p>
        </w:tc>
        <w:tc>
          <w:tcPr>
            <w:tcW w:w="4976" w:type="dxa"/>
          </w:tcPr>
          <w:p>
            <w:pPr>
              <w:pStyle w:val="8"/>
              <w:spacing w:before="6"/>
              <w:rPr>
                <w:rFonts w:ascii="宋体"/>
                <w:sz w:val="32"/>
              </w:rPr>
            </w:pPr>
          </w:p>
          <w:p>
            <w:pPr>
              <w:pStyle w:val="8"/>
              <w:spacing w:line="249" w:lineRule="auto"/>
              <w:ind w:left="107" w:right="38"/>
              <w:rPr>
                <w:sz w:val="24"/>
              </w:rPr>
            </w:pPr>
            <w:r>
              <w:rPr>
                <w:sz w:val="24"/>
              </w:rPr>
              <w:t>制定水源地监测方案，规范常规监测点位、监测指标及监测频次，2019年底前完成。</w:t>
            </w:r>
          </w:p>
        </w:tc>
        <w:tc>
          <w:tcPr>
            <w:tcW w:w="1252" w:type="dxa"/>
          </w:tcPr>
          <w:p>
            <w:pPr>
              <w:pStyle w:val="8"/>
              <w:rPr>
                <w:rFonts w:ascii="宋体"/>
                <w:sz w:val="24"/>
              </w:rPr>
            </w:pPr>
          </w:p>
          <w:p>
            <w:pPr>
              <w:pStyle w:val="8"/>
              <w:rPr>
                <w:rFonts w:ascii="宋体"/>
                <w:sz w:val="21"/>
              </w:rPr>
            </w:pPr>
          </w:p>
          <w:p>
            <w:pPr>
              <w:pStyle w:val="8"/>
              <w:ind w:left="144"/>
              <w:rPr>
                <w:sz w:val="24"/>
              </w:rPr>
            </w:pPr>
            <w:r>
              <w:rPr>
                <w:sz w:val="24"/>
              </w:rPr>
              <w:t>县环保局</w:t>
            </w:r>
          </w:p>
        </w:tc>
        <w:tc>
          <w:tcPr>
            <w:tcW w:w="1377" w:type="dxa"/>
          </w:tcPr>
          <w:p>
            <w:pPr>
              <w:pStyle w:val="8"/>
              <w:spacing w:before="97"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rPr>
                <w:rFonts w:ascii="宋体"/>
                <w:sz w:val="24"/>
              </w:rPr>
            </w:pPr>
          </w:p>
          <w:p>
            <w:pPr>
              <w:pStyle w:val="8"/>
              <w:spacing w:before="8"/>
              <w:rPr>
                <w:rFonts w:ascii="宋体"/>
                <w:sz w:val="33"/>
              </w:rPr>
            </w:pPr>
          </w:p>
          <w:p>
            <w:pPr>
              <w:pStyle w:val="8"/>
              <w:spacing w:line="249" w:lineRule="auto"/>
              <w:ind w:left="112" w:right="100"/>
              <w:jc w:val="both"/>
              <w:rPr>
                <w:sz w:val="24"/>
              </w:rPr>
            </w:pPr>
            <w:r>
              <w:rPr>
                <w:sz w:val="24"/>
              </w:rPr>
              <w:t>风险防控与应急能力建设</w:t>
            </w:r>
          </w:p>
        </w:tc>
        <w:tc>
          <w:tcPr>
            <w:tcW w:w="3510" w:type="dxa"/>
          </w:tcPr>
          <w:p>
            <w:pPr>
              <w:pStyle w:val="8"/>
              <w:spacing w:before="100" w:line="249" w:lineRule="auto"/>
              <w:ind w:left="108" w:right="-29"/>
              <w:rPr>
                <w:sz w:val="24"/>
              </w:rPr>
            </w:pPr>
            <w:r>
              <w:rPr>
                <w:sz w:val="24"/>
              </w:rPr>
              <w:t>（1）无风险源名录和风险防控</w:t>
            </w:r>
            <w:r>
              <w:rPr>
                <w:spacing w:val="-52"/>
                <w:sz w:val="24"/>
              </w:rPr>
              <w:t>方案；</w:t>
            </w:r>
            <w:r>
              <w:rPr>
                <w:sz w:val="24"/>
              </w:rPr>
              <w:t>（2</w:t>
            </w:r>
            <w:r>
              <w:rPr>
                <w:spacing w:val="-34"/>
                <w:sz w:val="24"/>
              </w:rPr>
              <w:t>）</w:t>
            </w:r>
            <w:r>
              <w:rPr>
                <w:sz w:val="24"/>
              </w:rPr>
              <w:t>没有定期或不定期开展保护区及周边环境安全隐患排</w:t>
            </w:r>
            <w:r>
              <w:rPr>
                <w:spacing w:val="-52"/>
                <w:sz w:val="24"/>
              </w:rPr>
              <w:t>查和；</w:t>
            </w:r>
            <w:r>
              <w:rPr>
                <w:sz w:val="24"/>
              </w:rPr>
              <w:t>（3</w:t>
            </w:r>
            <w:r>
              <w:rPr>
                <w:spacing w:val="-34"/>
                <w:sz w:val="24"/>
              </w:rPr>
              <w:t>）</w:t>
            </w:r>
            <w:r>
              <w:rPr>
                <w:sz w:val="24"/>
              </w:rPr>
              <w:t>没有制定饮用水水源</w:t>
            </w:r>
            <w:r>
              <w:rPr>
                <w:spacing w:val="-8"/>
                <w:sz w:val="24"/>
              </w:rPr>
              <w:t>地专项应急预案、突发环境事件</w:t>
            </w:r>
            <w:r>
              <w:rPr>
                <w:spacing w:val="-12"/>
                <w:sz w:val="24"/>
              </w:rPr>
              <w:t>应急处置技术方案，应急专家库</w:t>
            </w:r>
            <w:r>
              <w:rPr>
                <w:spacing w:val="-20"/>
                <w:sz w:val="24"/>
              </w:rPr>
              <w:t>不完善，未实现“一源一案”。</w:t>
            </w:r>
          </w:p>
        </w:tc>
        <w:tc>
          <w:tcPr>
            <w:tcW w:w="4976" w:type="dxa"/>
          </w:tcPr>
          <w:p>
            <w:pPr>
              <w:pStyle w:val="8"/>
              <w:spacing w:before="100" w:line="249" w:lineRule="auto"/>
              <w:ind w:left="107" w:right="97"/>
              <w:rPr>
                <w:sz w:val="24"/>
              </w:rPr>
            </w:pPr>
            <w:r>
              <w:rPr>
                <w:sz w:val="24"/>
              </w:rPr>
              <w:t>（1）编制风险源名录和风险防控方案，编制</w:t>
            </w:r>
            <w:r>
              <w:rPr>
                <w:spacing w:val="-5"/>
                <w:sz w:val="24"/>
              </w:rPr>
              <w:t>饮用水水源地专项应急预案、饮用水水源地突</w:t>
            </w:r>
            <w:r>
              <w:rPr>
                <w:spacing w:val="-4"/>
                <w:sz w:val="24"/>
              </w:rPr>
              <w:t>发环境事件应急处置技术方案，并具备应急专</w:t>
            </w:r>
            <w:r>
              <w:rPr>
                <w:spacing w:val="-11"/>
                <w:sz w:val="24"/>
              </w:rPr>
              <w:t>家库，做到“一源一案”，定期演练和修订预案，2019</w:t>
            </w:r>
            <w:r>
              <w:rPr>
                <w:spacing w:val="-26"/>
                <w:sz w:val="24"/>
              </w:rPr>
              <w:t>年底前完成；</w:t>
            </w:r>
            <w:r>
              <w:rPr>
                <w:sz w:val="24"/>
              </w:rPr>
              <w:t>（2）定期或不定期开展饮用水水源地保护区及周边环境安全隐患排查和饮用水水源地环境风险评估。</w:t>
            </w:r>
          </w:p>
        </w:tc>
        <w:tc>
          <w:tcPr>
            <w:tcW w:w="1252" w:type="dxa"/>
          </w:tcPr>
          <w:p>
            <w:pPr>
              <w:pStyle w:val="8"/>
              <w:rPr>
                <w:rFonts w:ascii="宋体"/>
                <w:sz w:val="24"/>
              </w:rPr>
            </w:pPr>
          </w:p>
          <w:p>
            <w:pPr>
              <w:pStyle w:val="8"/>
              <w:rPr>
                <w:rFonts w:ascii="宋体"/>
                <w:sz w:val="24"/>
              </w:rPr>
            </w:pPr>
          </w:p>
          <w:p>
            <w:pPr>
              <w:pStyle w:val="8"/>
              <w:spacing w:before="7"/>
              <w:rPr>
                <w:rFonts w:ascii="宋体"/>
                <w:sz w:val="34"/>
              </w:rPr>
            </w:pPr>
          </w:p>
          <w:p>
            <w:pPr>
              <w:pStyle w:val="8"/>
              <w:ind w:left="144"/>
              <w:rPr>
                <w:sz w:val="24"/>
              </w:rPr>
            </w:pPr>
            <w:r>
              <w:rPr>
                <w:sz w:val="24"/>
              </w:rPr>
              <w:t>县环保局</w:t>
            </w:r>
          </w:p>
        </w:tc>
        <w:tc>
          <w:tcPr>
            <w:tcW w:w="1377" w:type="dxa"/>
          </w:tcPr>
          <w:p>
            <w:pPr>
              <w:pStyle w:val="8"/>
              <w:rPr>
                <w:rFonts w:ascii="宋体"/>
                <w:sz w:val="24"/>
              </w:rPr>
            </w:pPr>
          </w:p>
          <w:p>
            <w:pPr>
              <w:pStyle w:val="8"/>
              <w:spacing w:before="8"/>
              <w:rPr>
                <w:rFonts w:ascii="宋体"/>
                <w:sz w:val="33"/>
              </w:rPr>
            </w:pPr>
          </w:p>
          <w:p>
            <w:pPr>
              <w:pStyle w:val="8"/>
              <w:spacing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53" w:line="249" w:lineRule="auto"/>
              <w:ind w:left="472" w:right="100" w:hanging="360"/>
              <w:rPr>
                <w:sz w:val="24"/>
              </w:rPr>
            </w:pPr>
            <w:r>
              <w:rPr>
                <w:sz w:val="24"/>
              </w:rPr>
              <w:t>保护区管理</w:t>
            </w:r>
          </w:p>
        </w:tc>
        <w:tc>
          <w:tcPr>
            <w:tcW w:w="3510" w:type="dxa"/>
          </w:tcPr>
          <w:p>
            <w:pPr>
              <w:pStyle w:val="8"/>
              <w:spacing w:before="214"/>
              <w:ind w:right="1229"/>
              <w:jc w:val="right"/>
              <w:rPr>
                <w:sz w:val="24"/>
              </w:rPr>
            </w:pPr>
            <w:r>
              <w:rPr>
                <w:sz w:val="24"/>
              </w:rPr>
              <w:t>水源地档案不完整。</w:t>
            </w:r>
          </w:p>
        </w:tc>
        <w:tc>
          <w:tcPr>
            <w:tcW w:w="4976" w:type="dxa"/>
          </w:tcPr>
          <w:p>
            <w:pPr>
              <w:pStyle w:val="8"/>
              <w:spacing w:before="53" w:line="249" w:lineRule="auto"/>
              <w:ind w:left="107" w:right="97"/>
              <w:rPr>
                <w:sz w:val="24"/>
              </w:rPr>
            </w:pPr>
            <w:r>
              <w:rPr>
                <w:spacing w:val="-20"/>
                <w:sz w:val="24"/>
              </w:rPr>
              <w:t>规范完善水源地档案，实现“一源一档”，</w:t>
            </w:r>
            <w:r>
              <w:rPr>
                <w:spacing w:val="-3"/>
                <w:sz w:val="24"/>
              </w:rPr>
              <w:t>2019</w:t>
            </w:r>
            <w:r>
              <w:rPr>
                <w:sz w:val="24"/>
              </w:rPr>
              <w:t>年底前完成。</w:t>
            </w:r>
          </w:p>
        </w:tc>
        <w:tc>
          <w:tcPr>
            <w:tcW w:w="1252" w:type="dxa"/>
          </w:tcPr>
          <w:p>
            <w:pPr>
              <w:pStyle w:val="8"/>
              <w:spacing w:before="214"/>
              <w:ind w:left="144"/>
              <w:rPr>
                <w:sz w:val="24"/>
              </w:rPr>
            </w:pPr>
            <w:r>
              <w:rPr>
                <w:sz w:val="24"/>
              </w:rPr>
              <w:t>县环保局</w:t>
            </w:r>
          </w:p>
        </w:tc>
        <w:tc>
          <w:tcPr>
            <w:tcW w:w="1377" w:type="dxa"/>
          </w:tcPr>
          <w:p>
            <w:pPr>
              <w:pStyle w:val="8"/>
              <w:spacing w:before="53" w:line="249" w:lineRule="auto"/>
              <w:ind w:left="568" w:right="196" w:hanging="360"/>
              <w:rPr>
                <w:sz w:val="24"/>
              </w:rPr>
            </w:pPr>
            <w:r>
              <w:rPr>
                <w:sz w:val="24"/>
              </w:rPr>
              <w:t>县水务公司</w:t>
            </w:r>
          </w:p>
        </w:tc>
      </w:tr>
    </w:tbl>
    <w:p>
      <w:pPr>
        <w:spacing w:after="0" w:line="249" w:lineRule="auto"/>
        <w:rPr>
          <w:sz w:val="24"/>
        </w:rPr>
        <w:sectPr>
          <w:type w:val="continuous"/>
          <w:pgSz w:w="16840" w:h="11910" w:orient="landscape"/>
          <w:pgMar w:top="1580" w:right="1320" w:bottom="1160" w:left="1360" w:header="720" w:footer="720" w:gutter="0"/>
          <w:cols w:space="720" w:num="1"/>
        </w:sectPr>
      </w:pPr>
    </w:p>
    <w:p>
      <w:pPr>
        <w:pStyle w:val="3"/>
        <w:rPr>
          <w:rFonts w:ascii="Times New Roman"/>
          <w:sz w:val="20"/>
        </w:rPr>
      </w:pPr>
    </w:p>
    <w:p>
      <w:pPr>
        <w:pStyle w:val="3"/>
        <w:rPr>
          <w:rFonts w:ascii="Times New Roman"/>
          <w:sz w:val="20"/>
        </w:rPr>
      </w:pPr>
    </w:p>
    <w:p>
      <w:pPr>
        <w:pStyle w:val="3"/>
        <w:spacing w:before="8"/>
        <w:rPr>
          <w:rFonts w:ascii="Times New Roman"/>
          <w:sz w:val="11"/>
        </w:rPr>
      </w:pPr>
    </w:p>
    <w:tbl>
      <w:tblPr>
        <w:tblStyle w:val="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020"/>
        <w:gridCol w:w="1185"/>
        <w:gridCol w:w="3510"/>
        <w:gridCol w:w="4976"/>
        <w:gridCol w:w="1252"/>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4" w:hRule="atLeast"/>
        </w:trPr>
        <w:tc>
          <w:tcPr>
            <w:tcW w:w="592"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50"/>
              <w:ind w:left="11"/>
              <w:jc w:val="center"/>
              <w:rPr>
                <w:sz w:val="24"/>
              </w:rPr>
            </w:pPr>
            <w:r>
              <w:rPr>
                <w:sz w:val="24"/>
              </w:rPr>
              <w:t>2</w:t>
            </w:r>
          </w:p>
        </w:tc>
        <w:tc>
          <w:tcPr>
            <w:tcW w:w="1020"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79" w:line="249" w:lineRule="auto"/>
              <w:ind w:left="148" w:right="139"/>
              <w:jc w:val="both"/>
              <w:rPr>
                <w:sz w:val="24"/>
              </w:rPr>
            </w:pPr>
            <w:r>
              <w:rPr>
                <w:sz w:val="24"/>
              </w:rPr>
              <w:t>郯城县水务公司第二水厂饮用水水源地</w:t>
            </w:r>
          </w:p>
        </w:tc>
        <w:tc>
          <w:tcPr>
            <w:tcW w:w="1185" w:type="dxa"/>
          </w:tcPr>
          <w:p>
            <w:pPr>
              <w:pStyle w:val="8"/>
              <w:rPr>
                <w:rFonts w:ascii="Times New Roman"/>
                <w:sz w:val="24"/>
              </w:rPr>
            </w:pPr>
          </w:p>
          <w:p>
            <w:pPr>
              <w:pStyle w:val="8"/>
              <w:rPr>
                <w:rFonts w:ascii="Times New Roman"/>
                <w:sz w:val="32"/>
              </w:rPr>
            </w:pPr>
          </w:p>
          <w:p>
            <w:pPr>
              <w:pStyle w:val="8"/>
              <w:spacing w:line="249" w:lineRule="auto"/>
              <w:ind w:left="472" w:right="100" w:hanging="360"/>
              <w:rPr>
                <w:sz w:val="24"/>
              </w:rPr>
            </w:pPr>
            <w:r>
              <w:rPr>
                <w:sz w:val="24"/>
              </w:rPr>
              <w:t>保护区建设</w:t>
            </w:r>
          </w:p>
        </w:tc>
        <w:tc>
          <w:tcPr>
            <w:tcW w:w="3510" w:type="dxa"/>
          </w:tcPr>
          <w:p>
            <w:pPr>
              <w:pStyle w:val="8"/>
              <w:spacing w:before="6" w:line="249" w:lineRule="auto"/>
              <w:ind w:left="108" w:right="96"/>
              <w:jc w:val="both"/>
              <w:rPr>
                <w:sz w:val="24"/>
              </w:rPr>
            </w:pPr>
            <w:r>
              <w:rPr>
                <w:sz w:val="24"/>
              </w:rPr>
              <w:t>（1）保护区内界标、交通警示</w:t>
            </w:r>
            <w:r>
              <w:rPr>
                <w:spacing w:val="-10"/>
                <w:sz w:val="24"/>
              </w:rPr>
              <w:t>牌、宣传牌等标志数量偏少，部</w:t>
            </w:r>
            <w:r>
              <w:rPr>
                <w:spacing w:val="-14"/>
                <w:sz w:val="24"/>
              </w:rPr>
              <w:t>分标志内容不规范；</w:t>
            </w:r>
            <w:r>
              <w:rPr>
                <w:sz w:val="24"/>
              </w:rPr>
              <w:t>（2）部分取水井周边没有按规范建设隔</w:t>
            </w:r>
          </w:p>
          <w:p>
            <w:pPr>
              <w:pStyle w:val="8"/>
              <w:spacing w:line="290" w:lineRule="exact"/>
              <w:ind w:left="108"/>
              <w:rPr>
                <w:sz w:val="24"/>
              </w:rPr>
            </w:pPr>
            <w:r>
              <w:rPr>
                <w:sz w:val="24"/>
              </w:rPr>
              <w:t>离网。</w:t>
            </w:r>
          </w:p>
        </w:tc>
        <w:tc>
          <w:tcPr>
            <w:tcW w:w="4976" w:type="dxa"/>
          </w:tcPr>
          <w:p>
            <w:pPr>
              <w:pStyle w:val="8"/>
              <w:spacing w:before="3"/>
              <w:rPr>
                <w:rFonts w:ascii="Times New Roman"/>
                <w:sz w:val="28"/>
              </w:rPr>
            </w:pPr>
          </w:p>
          <w:p>
            <w:pPr>
              <w:pStyle w:val="8"/>
              <w:spacing w:line="249" w:lineRule="auto"/>
              <w:ind w:left="107" w:right="97"/>
              <w:rPr>
                <w:sz w:val="24"/>
              </w:rPr>
            </w:pPr>
            <w:r>
              <w:rPr>
                <w:sz w:val="24"/>
              </w:rPr>
              <w:t>（1）查漏补缺、规范统一设置保护区标志，2019</w:t>
            </w:r>
            <w:r>
              <w:rPr>
                <w:spacing w:val="-10"/>
                <w:sz w:val="24"/>
              </w:rPr>
              <w:t>年底前完成</w:t>
            </w:r>
            <w:r>
              <w:rPr>
                <w:spacing w:val="-171"/>
                <w:sz w:val="24"/>
              </w:rPr>
              <w:t>；</w:t>
            </w:r>
            <w:r>
              <w:rPr>
                <w:sz w:val="24"/>
              </w:rPr>
              <w:t>（2</w:t>
            </w:r>
            <w:r>
              <w:rPr>
                <w:spacing w:val="-51"/>
                <w:sz w:val="24"/>
              </w:rPr>
              <w:t>）</w:t>
            </w:r>
            <w:r>
              <w:rPr>
                <w:spacing w:val="-2"/>
                <w:sz w:val="24"/>
              </w:rPr>
              <w:t>结合水源井周边实际情</w:t>
            </w:r>
            <w:r>
              <w:rPr>
                <w:sz w:val="24"/>
              </w:rPr>
              <w:t>况规范隔离防护设施。</w:t>
            </w:r>
          </w:p>
        </w:tc>
        <w:tc>
          <w:tcPr>
            <w:tcW w:w="1252" w:type="dxa"/>
          </w:tcPr>
          <w:p>
            <w:pPr>
              <w:pStyle w:val="8"/>
              <w:rPr>
                <w:rFonts w:ascii="Times New Roman"/>
                <w:sz w:val="24"/>
              </w:rPr>
            </w:pPr>
          </w:p>
          <w:p>
            <w:pPr>
              <w:pStyle w:val="8"/>
              <w:rPr>
                <w:rFonts w:ascii="Times New Roman"/>
                <w:sz w:val="24"/>
              </w:rPr>
            </w:pPr>
          </w:p>
          <w:p>
            <w:pPr>
              <w:pStyle w:val="8"/>
              <w:spacing w:before="9"/>
              <w:rPr>
                <w:rFonts w:ascii="Times New Roman"/>
                <w:sz w:val="21"/>
              </w:rPr>
            </w:pPr>
          </w:p>
          <w:p>
            <w:pPr>
              <w:pStyle w:val="8"/>
              <w:ind w:left="144"/>
              <w:rPr>
                <w:sz w:val="24"/>
              </w:rPr>
            </w:pPr>
            <w:r>
              <w:rPr>
                <w:sz w:val="24"/>
              </w:rPr>
              <w:t>县环保局</w:t>
            </w:r>
          </w:p>
        </w:tc>
        <w:tc>
          <w:tcPr>
            <w:tcW w:w="1377" w:type="dxa"/>
          </w:tcPr>
          <w:p>
            <w:pPr>
              <w:pStyle w:val="8"/>
              <w:rPr>
                <w:rFonts w:ascii="Times New Roman"/>
                <w:sz w:val="24"/>
              </w:rPr>
            </w:pPr>
          </w:p>
          <w:p>
            <w:pPr>
              <w:pStyle w:val="8"/>
              <w:rPr>
                <w:rFonts w:ascii="Times New Roman"/>
                <w:sz w:val="32"/>
              </w:rPr>
            </w:pPr>
          </w:p>
          <w:p>
            <w:pPr>
              <w:pStyle w:val="8"/>
              <w:spacing w:line="249" w:lineRule="auto"/>
              <w:ind w:left="568" w:right="196" w:hanging="360"/>
              <w:rPr>
                <w:sz w:val="24"/>
              </w:rPr>
            </w:pP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77" w:line="249" w:lineRule="auto"/>
              <w:ind w:left="472" w:right="100" w:hanging="360"/>
              <w:rPr>
                <w:sz w:val="24"/>
              </w:rPr>
            </w:pPr>
            <w:r>
              <w:rPr>
                <w:sz w:val="24"/>
              </w:rPr>
              <w:t>保护区整治</w:t>
            </w:r>
          </w:p>
        </w:tc>
        <w:tc>
          <w:tcPr>
            <w:tcW w:w="3510" w:type="dxa"/>
          </w:tcPr>
          <w:p>
            <w:pPr>
              <w:pStyle w:val="8"/>
              <w:numPr>
                <w:ilvl w:val="0"/>
                <w:numId w:val="1"/>
              </w:numPr>
              <w:tabs>
                <w:tab w:val="left" w:pos="710"/>
              </w:tabs>
              <w:spacing w:before="6" w:after="0" w:line="249" w:lineRule="auto"/>
              <w:ind w:left="108" w:right="96" w:firstLine="0"/>
              <w:jc w:val="both"/>
              <w:rPr>
                <w:sz w:val="24"/>
              </w:rPr>
            </w:pPr>
            <w:r>
              <w:rPr>
                <w:sz w:val="24"/>
              </w:rPr>
              <w:t>一级保护区内存在部分居</w:t>
            </w:r>
            <w:r>
              <w:rPr>
                <w:spacing w:val="-10"/>
                <w:sz w:val="24"/>
              </w:rPr>
              <w:t>民楼、大黄楼村和袁庄村部分居民住户、以及部分办公楼等与供</w:t>
            </w:r>
            <w:r>
              <w:rPr>
                <w:sz w:val="24"/>
              </w:rPr>
              <w:t>水和保护水源无关的建筑物；</w:t>
            </w:r>
          </w:p>
          <w:p>
            <w:pPr>
              <w:pStyle w:val="8"/>
              <w:numPr>
                <w:ilvl w:val="0"/>
                <w:numId w:val="1"/>
              </w:numPr>
              <w:tabs>
                <w:tab w:val="left" w:pos="710"/>
              </w:tabs>
              <w:spacing w:before="0" w:after="0" w:line="303" w:lineRule="exact"/>
              <w:ind w:left="709" w:right="0" w:hanging="602"/>
              <w:jc w:val="both"/>
              <w:rPr>
                <w:sz w:val="24"/>
              </w:rPr>
            </w:pPr>
            <w:r>
              <w:rPr>
                <w:sz w:val="24"/>
              </w:rPr>
              <w:t>二级保护区内存在2</w:t>
            </w:r>
            <w:r>
              <w:rPr>
                <w:spacing w:val="-20"/>
                <w:sz w:val="24"/>
              </w:rPr>
              <w:t>家企</w:t>
            </w:r>
          </w:p>
          <w:p>
            <w:pPr>
              <w:pStyle w:val="8"/>
              <w:spacing w:before="12"/>
              <w:ind w:left="108" w:right="-29"/>
              <w:rPr>
                <w:sz w:val="24"/>
              </w:rPr>
            </w:pPr>
            <w:r>
              <w:rPr>
                <w:spacing w:val="-23"/>
                <w:sz w:val="24"/>
              </w:rPr>
              <w:t>业、</w:t>
            </w:r>
            <w:r>
              <w:rPr>
                <w:sz w:val="24"/>
              </w:rPr>
              <w:t>1</w:t>
            </w:r>
            <w:r>
              <w:rPr>
                <w:spacing w:val="-9"/>
                <w:sz w:val="24"/>
              </w:rPr>
              <w:t>家汽修厂及</w:t>
            </w:r>
            <w:r>
              <w:rPr>
                <w:sz w:val="24"/>
              </w:rPr>
              <w:t>2</w:t>
            </w:r>
            <w:r>
              <w:rPr>
                <w:spacing w:val="-12"/>
                <w:sz w:val="24"/>
              </w:rPr>
              <w:t>家加油站；</w:t>
            </w:r>
          </w:p>
          <w:p>
            <w:pPr>
              <w:pStyle w:val="8"/>
              <w:numPr>
                <w:ilvl w:val="0"/>
                <w:numId w:val="1"/>
              </w:numPr>
              <w:tabs>
                <w:tab w:val="left" w:pos="710"/>
              </w:tabs>
              <w:spacing w:before="0" w:after="0" w:line="320" w:lineRule="atLeast"/>
              <w:ind w:left="108" w:right="149" w:firstLine="0"/>
              <w:jc w:val="left"/>
              <w:rPr>
                <w:sz w:val="24"/>
              </w:rPr>
            </w:pPr>
            <w:r>
              <w:rPr>
                <w:spacing w:val="-2"/>
                <w:sz w:val="24"/>
              </w:rPr>
              <w:t>二级保护区内村庄生活污</w:t>
            </w:r>
            <w:r>
              <w:rPr>
                <w:sz w:val="24"/>
              </w:rPr>
              <w:t>水没有实现集中收集和处理。</w:t>
            </w:r>
          </w:p>
        </w:tc>
        <w:tc>
          <w:tcPr>
            <w:tcW w:w="4976" w:type="dxa"/>
          </w:tcPr>
          <w:p>
            <w:pPr>
              <w:pStyle w:val="8"/>
              <w:spacing w:before="4"/>
              <w:rPr>
                <w:rFonts w:ascii="Times New Roman"/>
                <w:sz w:val="28"/>
              </w:rPr>
            </w:pPr>
          </w:p>
          <w:p>
            <w:pPr>
              <w:pStyle w:val="8"/>
              <w:spacing w:line="249" w:lineRule="auto"/>
              <w:ind w:left="107" w:right="97"/>
              <w:rPr>
                <w:sz w:val="24"/>
              </w:rPr>
            </w:pPr>
            <w:r>
              <w:rPr>
                <w:sz w:val="24"/>
              </w:rPr>
              <w:t>（1）在一级、二级保护区建设污水收集管网</w:t>
            </w:r>
            <w:r>
              <w:rPr>
                <w:spacing w:val="-4"/>
                <w:sz w:val="24"/>
              </w:rPr>
              <w:t>或农村污水集中收集处理设施，实现污水全收</w:t>
            </w:r>
            <w:r>
              <w:rPr>
                <w:spacing w:val="-1"/>
                <w:sz w:val="24"/>
              </w:rPr>
              <w:t>集全处理，</w:t>
            </w:r>
            <w:r>
              <w:rPr>
                <w:spacing w:val="-5"/>
                <w:sz w:val="24"/>
              </w:rPr>
              <w:t>2022</w:t>
            </w:r>
            <w:r>
              <w:rPr>
                <w:spacing w:val="-15"/>
                <w:sz w:val="24"/>
              </w:rPr>
              <w:t>年底前完成；</w:t>
            </w:r>
            <w:r>
              <w:rPr>
                <w:spacing w:val="-9"/>
                <w:sz w:val="24"/>
              </w:rPr>
              <w:t>（2）</w:t>
            </w:r>
            <w:r>
              <w:rPr>
                <w:spacing w:val="-4"/>
                <w:sz w:val="24"/>
              </w:rPr>
              <w:t>加强保护</w:t>
            </w:r>
            <w:r>
              <w:rPr>
                <w:sz w:val="24"/>
              </w:rPr>
              <w:t>区内企业和汽修厂监管，并逐步搬出，2019</w:t>
            </w:r>
            <w:r>
              <w:rPr>
                <w:spacing w:val="-24"/>
                <w:sz w:val="24"/>
              </w:rPr>
              <w:t>年底前完成；</w:t>
            </w:r>
            <w:r>
              <w:rPr>
                <w:sz w:val="24"/>
              </w:rPr>
              <w:t>（3</w:t>
            </w:r>
            <w:r>
              <w:rPr>
                <w:spacing w:val="-22"/>
                <w:sz w:val="24"/>
              </w:rPr>
              <w:t>）</w:t>
            </w:r>
            <w:r>
              <w:rPr>
                <w:spacing w:val="-2"/>
                <w:sz w:val="24"/>
              </w:rPr>
              <w:t>对保护区内加油站进行双层</w:t>
            </w:r>
            <w:r>
              <w:rPr>
                <w:sz w:val="24"/>
              </w:rPr>
              <w:t>罐改造或防渗池建设，2019</w:t>
            </w:r>
            <w:r>
              <w:rPr>
                <w:spacing w:val="-9"/>
                <w:sz w:val="24"/>
              </w:rPr>
              <w:t>年底前完成。</w:t>
            </w:r>
          </w:p>
        </w:tc>
        <w:tc>
          <w:tcPr>
            <w:tcW w:w="1252" w:type="dxa"/>
          </w:tcPr>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7"/>
              <w:rPr>
                <w:rFonts w:ascii="Times New Roman"/>
                <w:sz w:val="25"/>
              </w:rPr>
            </w:pPr>
          </w:p>
          <w:p>
            <w:pPr>
              <w:pStyle w:val="8"/>
              <w:spacing w:line="249" w:lineRule="auto"/>
              <w:ind w:left="144" w:right="135"/>
              <w:jc w:val="center"/>
              <w:rPr>
                <w:sz w:val="24"/>
              </w:rPr>
            </w:pPr>
            <w:r>
              <w:rPr>
                <w:sz w:val="24"/>
              </w:rPr>
              <w:t>县住建</w:t>
            </w:r>
            <w:r>
              <w:rPr>
                <w:spacing w:val="-5"/>
                <w:sz w:val="24"/>
              </w:rPr>
              <w:t>局、县商</w:t>
            </w:r>
            <w:r>
              <w:rPr>
                <w:sz w:val="24"/>
              </w:rPr>
              <w:t>务局</w:t>
            </w:r>
          </w:p>
        </w:tc>
        <w:tc>
          <w:tcPr>
            <w:tcW w:w="1377" w:type="dxa"/>
          </w:tcPr>
          <w:p>
            <w:pPr>
              <w:pStyle w:val="8"/>
              <w:rPr>
                <w:rFonts w:ascii="Times New Roman"/>
                <w:sz w:val="24"/>
              </w:rPr>
            </w:pPr>
          </w:p>
          <w:p>
            <w:pPr>
              <w:pStyle w:val="8"/>
              <w:rPr>
                <w:rFonts w:ascii="Times New Roman"/>
                <w:sz w:val="24"/>
              </w:rPr>
            </w:pPr>
          </w:p>
          <w:p>
            <w:pPr>
              <w:pStyle w:val="8"/>
              <w:spacing w:before="10"/>
              <w:rPr>
                <w:rFonts w:ascii="Times New Roman"/>
                <w:sz w:val="21"/>
              </w:rPr>
            </w:pPr>
          </w:p>
          <w:p>
            <w:pPr>
              <w:pStyle w:val="8"/>
              <w:spacing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5"/>
              <w:ind w:left="92" w:right="82"/>
              <w:jc w:val="center"/>
              <w:rPr>
                <w:sz w:val="24"/>
              </w:rPr>
            </w:pPr>
            <w:r>
              <w:rPr>
                <w:sz w:val="24"/>
              </w:rPr>
              <w:t>监控能力</w:t>
            </w:r>
          </w:p>
          <w:p>
            <w:pPr>
              <w:pStyle w:val="8"/>
              <w:spacing w:before="12" w:line="293" w:lineRule="exact"/>
              <w:ind w:left="92" w:right="82"/>
              <w:jc w:val="center"/>
              <w:rPr>
                <w:sz w:val="24"/>
              </w:rPr>
            </w:pPr>
            <w:r>
              <w:rPr>
                <w:sz w:val="24"/>
              </w:rPr>
              <w:t>建设</w:t>
            </w:r>
          </w:p>
        </w:tc>
        <w:tc>
          <w:tcPr>
            <w:tcW w:w="3510" w:type="dxa"/>
          </w:tcPr>
          <w:p>
            <w:pPr>
              <w:pStyle w:val="8"/>
              <w:spacing w:before="5"/>
              <w:ind w:left="108"/>
              <w:rPr>
                <w:sz w:val="24"/>
              </w:rPr>
            </w:pPr>
            <w:r>
              <w:rPr>
                <w:sz w:val="24"/>
              </w:rPr>
              <w:t>常规监测频次不规范；缺少全指</w:t>
            </w:r>
          </w:p>
          <w:p>
            <w:pPr>
              <w:pStyle w:val="8"/>
              <w:spacing w:before="12" w:line="293" w:lineRule="exact"/>
              <w:ind w:left="108"/>
              <w:rPr>
                <w:sz w:val="24"/>
              </w:rPr>
            </w:pPr>
            <w:r>
              <w:rPr>
                <w:sz w:val="24"/>
              </w:rPr>
              <w:t>标监测。</w:t>
            </w:r>
          </w:p>
        </w:tc>
        <w:tc>
          <w:tcPr>
            <w:tcW w:w="4976" w:type="dxa"/>
          </w:tcPr>
          <w:p>
            <w:pPr>
              <w:pStyle w:val="8"/>
              <w:spacing w:before="5"/>
              <w:ind w:left="107"/>
              <w:rPr>
                <w:sz w:val="24"/>
              </w:rPr>
            </w:pPr>
            <w:r>
              <w:rPr>
                <w:sz w:val="24"/>
              </w:rPr>
              <w:t>制定水源地监测方案，规范常规监测点位、监</w:t>
            </w:r>
          </w:p>
          <w:p>
            <w:pPr>
              <w:pStyle w:val="8"/>
              <w:spacing w:before="12" w:line="293" w:lineRule="exact"/>
              <w:ind w:left="107"/>
              <w:rPr>
                <w:sz w:val="24"/>
              </w:rPr>
            </w:pPr>
            <w:r>
              <w:rPr>
                <w:sz w:val="24"/>
              </w:rPr>
              <w:t>测指标及监测频次，2019年底前完成。</w:t>
            </w:r>
          </w:p>
        </w:tc>
        <w:tc>
          <w:tcPr>
            <w:tcW w:w="1252" w:type="dxa"/>
          </w:tcPr>
          <w:p>
            <w:pPr>
              <w:pStyle w:val="8"/>
              <w:spacing w:before="164"/>
              <w:ind w:left="144"/>
              <w:rPr>
                <w:sz w:val="24"/>
              </w:rPr>
            </w:pPr>
            <w:r>
              <w:rPr>
                <w:sz w:val="24"/>
              </w:rPr>
              <w:t>县环保局</w:t>
            </w:r>
          </w:p>
        </w:tc>
        <w:tc>
          <w:tcPr>
            <w:tcW w:w="1377" w:type="dxa"/>
          </w:tcPr>
          <w:p>
            <w:pPr>
              <w:pStyle w:val="8"/>
              <w:spacing w:before="164"/>
              <w:ind w:left="208"/>
              <w:rPr>
                <w:sz w:val="24"/>
              </w:rPr>
            </w:pPr>
            <w:r>
              <w:rPr>
                <w:sz w:val="24"/>
              </w:rPr>
              <w:t>郯城街道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rPr>
                <w:rFonts w:ascii="Times New Roman"/>
                <w:sz w:val="24"/>
              </w:rPr>
            </w:pPr>
          </w:p>
          <w:p>
            <w:pPr>
              <w:pStyle w:val="8"/>
              <w:rPr>
                <w:rFonts w:ascii="Times New Roman"/>
                <w:sz w:val="24"/>
              </w:rPr>
            </w:pPr>
          </w:p>
          <w:p>
            <w:pPr>
              <w:pStyle w:val="8"/>
              <w:spacing w:before="8"/>
              <w:rPr>
                <w:rFonts w:ascii="Times New Roman"/>
                <w:sz w:val="35"/>
              </w:rPr>
            </w:pPr>
          </w:p>
          <w:p>
            <w:pPr>
              <w:pStyle w:val="8"/>
              <w:spacing w:line="249" w:lineRule="auto"/>
              <w:ind w:left="112" w:right="100"/>
              <w:jc w:val="both"/>
              <w:rPr>
                <w:sz w:val="24"/>
              </w:rPr>
            </w:pPr>
            <w:r>
              <w:rPr>
                <w:sz w:val="24"/>
              </w:rPr>
              <w:t>风险防控与应急能力建设</w:t>
            </w:r>
          </w:p>
        </w:tc>
        <w:tc>
          <w:tcPr>
            <w:tcW w:w="3510" w:type="dxa"/>
          </w:tcPr>
          <w:p>
            <w:pPr>
              <w:pStyle w:val="8"/>
              <w:spacing w:before="5" w:line="249" w:lineRule="auto"/>
              <w:ind w:left="108" w:right="96"/>
              <w:rPr>
                <w:sz w:val="24"/>
              </w:rPr>
            </w:pPr>
            <w:r>
              <w:rPr>
                <w:sz w:val="24"/>
              </w:rPr>
              <w:t>（1）无风险源名录和风险防控</w:t>
            </w:r>
            <w:r>
              <w:rPr>
                <w:spacing w:val="-12"/>
                <w:sz w:val="24"/>
              </w:rPr>
              <w:t>方案；</w:t>
            </w:r>
            <w:r>
              <w:rPr>
                <w:spacing w:val="-8"/>
                <w:sz w:val="24"/>
              </w:rPr>
              <w:t>（2）</w:t>
            </w:r>
            <w:r>
              <w:rPr>
                <w:spacing w:val="-2"/>
                <w:sz w:val="24"/>
              </w:rPr>
              <w:t>没有定期或不定期</w:t>
            </w:r>
            <w:r>
              <w:rPr>
                <w:sz w:val="24"/>
              </w:rPr>
              <w:t>开展保护区及周边环境安全隐患排查和饮用水水源地环境风</w:t>
            </w:r>
            <w:r>
              <w:rPr>
                <w:spacing w:val="-39"/>
                <w:sz w:val="24"/>
              </w:rPr>
              <w:t>险评估；</w:t>
            </w:r>
            <w:r>
              <w:rPr>
                <w:sz w:val="24"/>
              </w:rPr>
              <w:t>（3</w:t>
            </w:r>
            <w:r>
              <w:rPr>
                <w:spacing w:val="-34"/>
                <w:sz w:val="24"/>
              </w:rPr>
              <w:t>）</w:t>
            </w:r>
            <w:r>
              <w:rPr>
                <w:spacing w:val="-2"/>
                <w:sz w:val="24"/>
              </w:rPr>
              <w:t>没有制定饮用水水</w:t>
            </w:r>
            <w:r>
              <w:rPr>
                <w:sz w:val="24"/>
              </w:rPr>
              <w:t>源地专项应急预案、突发环境</w:t>
            </w:r>
            <w:r>
              <w:rPr>
                <w:spacing w:val="-8"/>
                <w:sz w:val="24"/>
              </w:rPr>
              <w:t>事件应急处置技术方案，应急专</w:t>
            </w:r>
            <w:r>
              <w:rPr>
                <w:sz w:val="24"/>
              </w:rPr>
              <w:t>家库不完善，未实现“一源一</w:t>
            </w:r>
          </w:p>
          <w:p>
            <w:pPr>
              <w:pStyle w:val="8"/>
              <w:spacing w:line="287" w:lineRule="exact"/>
              <w:ind w:left="108"/>
              <w:rPr>
                <w:sz w:val="24"/>
              </w:rPr>
            </w:pPr>
            <w:r>
              <w:rPr>
                <w:sz w:val="24"/>
              </w:rPr>
              <w:t>案”。</w:t>
            </w:r>
          </w:p>
        </w:tc>
        <w:tc>
          <w:tcPr>
            <w:tcW w:w="4976" w:type="dxa"/>
          </w:tcPr>
          <w:p>
            <w:pPr>
              <w:pStyle w:val="8"/>
              <w:spacing w:before="2"/>
              <w:rPr>
                <w:rFonts w:ascii="Times New Roman"/>
                <w:sz w:val="28"/>
              </w:rPr>
            </w:pPr>
          </w:p>
          <w:p>
            <w:pPr>
              <w:pStyle w:val="8"/>
              <w:spacing w:before="1" w:line="249" w:lineRule="auto"/>
              <w:ind w:left="107" w:right="97"/>
              <w:rPr>
                <w:sz w:val="24"/>
              </w:rPr>
            </w:pPr>
            <w:r>
              <w:rPr>
                <w:sz w:val="24"/>
              </w:rPr>
              <w:t>（1）编制风险源名录和风险防控方案，编制</w:t>
            </w:r>
            <w:r>
              <w:rPr>
                <w:spacing w:val="-5"/>
                <w:sz w:val="24"/>
              </w:rPr>
              <w:t>饮用水水源地专项应急预案、饮用水水源地突</w:t>
            </w:r>
            <w:r>
              <w:rPr>
                <w:spacing w:val="-4"/>
                <w:sz w:val="24"/>
              </w:rPr>
              <w:t>发环境事件应急处置技术方案，并具备应急专</w:t>
            </w:r>
            <w:r>
              <w:rPr>
                <w:spacing w:val="-11"/>
                <w:sz w:val="24"/>
              </w:rPr>
              <w:t>家库，做到“一源一案”，定期演练和修订预案，2019</w:t>
            </w:r>
            <w:r>
              <w:rPr>
                <w:spacing w:val="-26"/>
                <w:sz w:val="24"/>
              </w:rPr>
              <w:t>年底前完成；</w:t>
            </w:r>
            <w:r>
              <w:rPr>
                <w:sz w:val="24"/>
              </w:rPr>
              <w:t>（2）定期或不定期开展饮用水水源地保护区及周边环境安全隐患排查和饮用水水源地环境风险评估。</w:t>
            </w:r>
          </w:p>
        </w:tc>
        <w:tc>
          <w:tcPr>
            <w:tcW w:w="1252" w:type="dxa"/>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78"/>
              <w:ind w:left="144"/>
              <w:rPr>
                <w:sz w:val="24"/>
              </w:rPr>
            </w:pPr>
            <w:r>
              <w:rPr>
                <w:sz w:val="24"/>
              </w:rPr>
              <w:t>县环保局</w:t>
            </w:r>
          </w:p>
        </w:tc>
        <w:tc>
          <w:tcPr>
            <w:tcW w:w="1377" w:type="dxa"/>
          </w:tcPr>
          <w:p>
            <w:pPr>
              <w:pStyle w:val="8"/>
              <w:rPr>
                <w:rFonts w:ascii="Times New Roman"/>
                <w:sz w:val="24"/>
              </w:rPr>
            </w:pPr>
          </w:p>
          <w:p>
            <w:pPr>
              <w:pStyle w:val="8"/>
              <w:rPr>
                <w:rFonts w:ascii="Times New Roman"/>
                <w:sz w:val="24"/>
              </w:rPr>
            </w:pPr>
          </w:p>
          <w:p>
            <w:pPr>
              <w:pStyle w:val="8"/>
              <w:spacing w:before="8"/>
              <w:rPr>
                <w:rFonts w:ascii="Times New Roman"/>
                <w:sz w:val="21"/>
              </w:rPr>
            </w:pPr>
          </w:p>
          <w:p>
            <w:pPr>
              <w:pStyle w:val="8"/>
              <w:spacing w:before="1"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7"/>
              <w:ind w:left="92" w:right="82"/>
              <w:jc w:val="center"/>
              <w:rPr>
                <w:sz w:val="24"/>
              </w:rPr>
            </w:pPr>
            <w:r>
              <w:rPr>
                <w:sz w:val="24"/>
              </w:rPr>
              <w:t>保护区管</w:t>
            </w:r>
          </w:p>
          <w:p>
            <w:pPr>
              <w:pStyle w:val="8"/>
              <w:spacing w:before="11" w:line="290" w:lineRule="exact"/>
              <w:ind w:left="10"/>
              <w:jc w:val="center"/>
              <w:rPr>
                <w:sz w:val="24"/>
              </w:rPr>
            </w:pPr>
            <w:r>
              <w:rPr>
                <w:sz w:val="24"/>
              </w:rPr>
              <w:t>理</w:t>
            </w:r>
          </w:p>
        </w:tc>
        <w:tc>
          <w:tcPr>
            <w:tcW w:w="3510" w:type="dxa"/>
          </w:tcPr>
          <w:p>
            <w:pPr>
              <w:pStyle w:val="8"/>
              <w:spacing w:before="165"/>
              <w:ind w:left="108"/>
              <w:rPr>
                <w:sz w:val="24"/>
              </w:rPr>
            </w:pPr>
            <w:r>
              <w:rPr>
                <w:sz w:val="24"/>
              </w:rPr>
              <w:t>水源地档案不完整。</w:t>
            </w:r>
          </w:p>
        </w:tc>
        <w:tc>
          <w:tcPr>
            <w:tcW w:w="4976" w:type="dxa"/>
          </w:tcPr>
          <w:p>
            <w:pPr>
              <w:pStyle w:val="8"/>
              <w:spacing w:before="7"/>
              <w:ind w:left="107"/>
              <w:rPr>
                <w:sz w:val="24"/>
              </w:rPr>
            </w:pPr>
            <w:r>
              <w:rPr>
                <w:spacing w:val="-20"/>
                <w:sz w:val="24"/>
              </w:rPr>
              <w:t>规范完善水源地档案，实现“一源一档”，</w:t>
            </w:r>
            <w:r>
              <w:rPr>
                <w:sz w:val="24"/>
              </w:rPr>
              <w:t>2019</w:t>
            </w:r>
          </w:p>
          <w:p>
            <w:pPr>
              <w:pStyle w:val="8"/>
              <w:spacing w:before="11" w:line="290" w:lineRule="exact"/>
              <w:ind w:left="107"/>
              <w:rPr>
                <w:sz w:val="24"/>
              </w:rPr>
            </w:pPr>
            <w:r>
              <w:rPr>
                <w:sz w:val="24"/>
              </w:rPr>
              <w:t>年底前完成。</w:t>
            </w:r>
          </w:p>
        </w:tc>
        <w:tc>
          <w:tcPr>
            <w:tcW w:w="1252" w:type="dxa"/>
          </w:tcPr>
          <w:p>
            <w:pPr>
              <w:pStyle w:val="8"/>
              <w:spacing w:before="165"/>
              <w:ind w:left="144"/>
              <w:rPr>
                <w:sz w:val="24"/>
              </w:rPr>
            </w:pPr>
            <w:r>
              <w:rPr>
                <w:sz w:val="24"/>
              </w:rPr>
              <w:t>县环保局</w:t>
            </w:r>
          </w:p>
        </w:tc>
        <w:tc>
          <w:tcPr>
            <w:tcW w:w="1377" w:type="dxa"/>
          </w:tcPr>
          <w:p>
            <w:pPr>
              <w:pStyle w:val="8"/>
              <w:spacing w:before="7"/>
              <w:ind w:left="66" w:right="57"/>
              <w:jc w:val="center"/>
              <w:rPr>
                <w:sz w:val="24"/>
              </w:rPr>
            </w:pPr>
            <w:r>
              <w:rPr>
                <w:sz w:val="24"/>
              </w:rPr>
              <w:t>县水务公</w:t>
            </w:r>
          </w:p>
          <w:p>
            <w:pPr>
              <w:pStyle w:val="8"/>
              <w:spacing w:before="11" w:line="290" w:lineRule="exact"/>
              <w:ind w:left="9"/>
              <w:jc w:val="center"/>
              <w:rPr>
                <w:sz w:val="24"/>
              </w:rPr>
            </w:pPr>
            <w:r>
              <w:rPr>
                <w:sz w:val="24"/>
              </w:rPr>
              <w:t>司</w:t>
            </w:r>
          </w:p>
        </w:tc>
      </w:tr>
    </w:tbl>
    <w:p>
      <w:pPr>
        <w:spacing w:after="0" w:line="290" w:lineRule="exact"/>
        <w:jc w:val="center"/>
        <w:rPr>
          <w:sz w:val="24"/>
        </w:rPr>
        <w:sectPr>
          <w:pgSz w:w="16840" w:h="11910" w:orient="landscape"/>
          <w:pgMar w:top="1100" w:right="1320" w:bottom="1080" w:left="1360" w:header="0" w:footer="889" w:gutter="0"/>
          <w:cols w:space="720" w:num="1"/>
        </w:sectPr>
      </w:pPr>
    </w:p>
    <w:p>
      <w:pPr>
        <w:pStyle w:val="3"/>
        <w:rPr>
          <w:rFonts w:ascii="Times New Roman"/>
          <w:sz w:val="20"/>
        </w:rPr>
      </w:pPr>
    </w:p>
    <w:p>
      <w:pPr>
        <w:pStyle w:val="3"/>
        <w:rPr>
          <w:rFonts w:ascii="Times New Roman"/>
          <w:sz w:val="20"/>
        </w:rPr>
      </w:pPr>
    </w:p>
    <w:p>
      <w:pPr>
        <w:pStyle w:val="3"/>
        <w:spacing w:before="8"/>
        <w:rPr>
          <w:rFonts w:ascii="Times New Roman"/>
          <w:sz w:val="11"/>
        </w:rPr>
      </w:pPr>
    </w:p>
    <w:tbl>
      <w:tblPr>
        <w:tblStyle w:val="4"/>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020"/>
        <w:gridCol w:w="1185"/>
        <w:gridCol w:w="3510"/>
        <w:gridCol w:w="4976"/>
        <w:gridCol w:w="1252"/>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592"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2"/>
              </w:rPr>
            </w:pPr>
          </w:p>
          <w:p>
            <w:pPr>
              <w:pStyle w:val="8"/>
              <w:ind w:left="11"/>
              <w:jc w:val="center"/>
              <w:rPr>
                <w:sz w:val="24"/>
              </w:rPr>
            </w:pPr>
            <w:r>
              <w:rPr>
                <w:sz w:val="24"/>
              </w:rPr>
              <w:t>3</w:t>
            </w:r>
          </w:p>
        </w:tc>
        <w:tc>
          <w:tcPr>
            <w:tcW w:w="1020" w:type="dxa"/>
            <w:vMerge w:val="restart"/>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8"/>
              <w:rPr>
                <w:rFonts w:ascii="Times New Roman"/>
                <w:sz w:val="24"/>
              </w:rPr>
            </w:pPr>
          </w:p>
          <w:p>
            <w:pPr>
              <w:pStyle w:val="8"/>
              <w:spacing w:before="1" w:line="249" w:lineRule="auto"/>
              <w:ind w:left="148" w:right="139"/>
              <w:jc w:val="both"/>
              <w:rPr>
                <w:sz w:val="24"/>
              </w:rPr>
            </w:pPr>
            <w:r>
              <w:rPr>
                <w:sz w:val="24"/>
              </w:rPr>
              <w:t>郯城县东城新区供水中心饮用水水源地</w:t>
            </w:r>
          </w:p>
        </w:tc>
        <w:tc>
          <w:tcPr>
            <w:tcW w:w="1185" w:type="dxa"/>
          </w:tcPr>
          <w:p>
            <w:pPr>
              <w:pStyle w:val="8"/>
              <w:spacing w:before="6"/>
              <w:rPr>
                <w:rFonts w:ascii="Times New Roman"/>
                <w:sz w:val="34"/>
              </w:rPr>
            </w:pPr>
          </w:p>
          <w:p>
            <w:pPr>
              <w:pStyle w:val="8"/>
              <w:spacing w:line="249" w:lineRule="auto"/>
              <w:ind w:left="472" w:right="100" w:hanging="360"/>
              <w:rPr>
                <w:sz w:val="24"/>
              </w:rPr>
            </w:pPr>
            <w:r>
              <w:rPr>
                <w:sz w:val="24"/>
              </w:rPr>
              <w:t>保护区建设</w:t>
            </w:r>
          </w:p>
        </w:tc>
        <w:tc>
          <w:tcPr>
            <w:tcW w:w="3510" w:type="dxa"/>
          </w:tcPr>
          <w:p>
            <w:pPr>
              <w:pStyle w:val="8"/>
              <w:numPr>
                <w:ilvl w:val="0"/>
                <w:numId w:val="2"/>
              </w:numPr>
              <w:tabs>
                <w:tab w:val="left" w:pos="710"/>
              </w:tabs>
              <w:spacing w:before="78" w:after="0" w:line="240" w:lineRule="auto"/>
              <w:ind w:left="709" w:right="0" w:hanging="602"/>
              <w:jc w:val="left"/>
              <w:rPr>
                <w:sz w:val="24"/>
              </w:rPr>
            </w:pPr>
            <w:r>
              <w:rPr>
                <w:sz w:val="24"/>
              </w:rPr>
              <w:t>保护区划分方案未批复；</w:t>
            </w:r>
          </w:p>
          <w:p>
            <w:pPr>
              <w:pStyle w:val="8"/>
              <w:numPr>
                <w:ilvl w:val="0"/>
                <w:numId w:val="2"/>
              </w:numPr>
              <w:tabs>
                <w:tab w:val="left" w:pos="710"/>
              </w:tabs>
              <w:spacing w:before="12" w:after="0" w:line="249" w:lineRule="auto"/>
              <w:ind w:left="108" w:right="149" w:firstLine="0"/>
              <w:jc w:val="both"/>
              <w:rPr>
                <w:sz w:val="24"/>
              </w:rPr>
            </w:pPr>
            <w:r>
              <w:rPr>
                <w:spacing w:val="-2"/>
                <w:sz w:val="24"/>
              </w:rPr>
              <w:t>保护区内界标、交通警示牌、宣传牌等标志数量偏少，</w:t>
            </w:r>
            <w:r>
              <w:rPr>
                <w:sz w:val="24"/>
              </w:rPr>
              <w:t>部分标志内容不规范。</w:t>
            </w:r>
          </w:p>
        </w:tc>
        <w:tc>
          <w:tcPr>
            <w:tcW w:w="4976" w:type="dxa"/>
          </w:tcPr>
          <w:p>
            <w:pPr>
              <w:pStyle w:val="8"/>
              <w:spacing w:before="78" w:line="249" w:lineRule="auto"/>
              <w:ind w:left="107" w:right="-29"/>
              <w:rPr>
                <w:sz w:val="24"/>
              </w:rPr>
            </w:pPr>
            <w:r>
              <w:rPr>
                <w:spacing w:val="-3"/>
                <w:sz w:val="24"/>
              </w:rPr>
              <w:t>（1）2019</w:t>
            </w:r>
            <w:r>
              <w:rPr>
                <w:spacing w:val="-20"/>
                <w:sz w:val="24"/>
              </w:rPr>
              <w:t>年</w:t>
            </w:r>
            <w:r>
              <w:rPr>
                <w:sz w:val="24"/>
              </w:rPr>
              <w:t>6</w:t>
            </w:r>
            <w:r>
              <w:rPr>
                <w:spacing w:val="-10"/>
                <w:sz w:val="24"/>
              </w:rPr>
              <w:t>底前，完成保护区划分技术报</w:t>
            </w:r>
            <w:r>
              <w:rPr>
                <w:spacing w:val="-11"/>
                <w:sz w:val="24"/>
              </w:rPr>
              <w:t>告编制工作，并报省政府批复</w:t>
            </w:r>
            <w:r>
              <w:rPr>
                <w:spacing w:val="-173"/>
                <w:sz w:val="24"/>
              </w:rPr>
              <w:t>；</w:t>
            </w:r>
            <w:r>
              <w:rPr>
                <w:sz w:val="24"/>
              </w:rPr>
              <w:t>（2</w:t>
            </w:r>
            <w:r>
              <w:rPr>
                <w:spacing w:val="-56"/>
                <w:sz w:val="24"/>
              </w:rPr>
              <w:t>）</w:t>
            </w:r>
            <w:r>
              <w:rPr>
                <w:sz w:val="24"/>
              </w:rPr>
              <w:t>查漏补缺、规范统一设置保护区标志，</w:t>
            </w:r>
            <w:r>
              <w:rPr>
                <w:spacing w:val="3"/>
                <w:sz w:val="24"/>
              </w:rPr>
              <w:t>2019</w:t>
            </w:r>
            <w:r>
              <w:rPr>
                <w:spacing w:val="-11"/>
                <w:sz w:val="24"/>
              </w:rPr>
              <w:t>年底前完成。</w:t>
            </w:r>
          </w:p>
        </w:tc>
        <w:tc>
          <w:tcPr>
            <w:tcW w:w="1252" w:type="dxa"/>
          </w:tcPr>
          <w:p>
            <w:pPr>
              <w:pStyle w:val="8"/>
              <w:rPr>
                <w:rFonts w:ascii="Times New Roman"/>
                <w:sz w:val="24"/>
              </w:rPr>
            </w:pPr>
          </w:p>
          <w:p>
            <w:pPr>
              <w:pStyle w:val="8"/>
              <w:spacing w:before="3"/>
              <w:rPr>
                <w:rFonts w:ascii="Times New Roman"/>
                <w:sz w:val="24"/>
              </w:rPr>
            </w:pPr>
          </w:p>
          <w:p>
            <w:pPr>
              <w:pStyle w:val="8"/>
              <w:spacing w:before="1"/>
              <w:ind w:left="144"/>
              <w:rPr>
                <w:sz w:val="24"/>
              </w:rPr>
            </w:pPr>
            <w:r>
              <w:rPr>
                <w:sz w:val="24"/>
              </w:rPr>
              <w:t>县环保局</w:t>
            </w:r>
          </w:p>
        </w:tc>
        <w:tc>
          <w:tcPr>
            <w:tcW w:w="1377" w:type="dxa"/>
          </w:tcPr>
          <w:p>
            <w:pPr>
              <w:pStyle w:val="8"/>
              <w:spacing w:before="78"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rPr>
                <w:rFonts w:ascii="Times New Roman"/>
                <w:sz w:val="24"/>
              </w:rPr>
            </w:pPr>
          </w:p>
          <w:p>
            <w:pPr>
              <w:pStyle w:val="8"/>
              <w:spacing w:before="208" w:line="249" w:lineRule="auto"/>
              <w:ind w:left="472" w:right="100" w:hanging="360"/>
              <w:rPr>
                <w:sz w:val="24"/>
              </w:rPr>
            </w:pPr>
            <w:r>
              <w:rPr>
                <w:sz w:val="24"/>
              </w:rPr>
              <w:t>保护区整治</w:t>
            </w:r>
          </w:p>
        </w:tc>
        <w:tc>
          <w:tcPr>
            <w:tcW w:w="3510" w:type="dxa"/>
          </w:tcPr>
          <w:p>
            <w:pPr>
              <w:pStyle w:val="8"/>
              <w:numPr>
                <w:ilvl w:val="0"/>
                <w:numId w:val="3"/>
              </w:numPr>
              <w:tabs>
                <w:tab w:val="left" w:pos="710"/>
              </w:tabs>
              <w:spacing w:before="165" w:after="0" w:line="249" w:lineRule="auto"/>
              <w:ind w:left="108" w:right="149" w:firstLine="0"/>
              <w:jc w:val="left"/>
              <w:rPr>
                <w:sz w:val="24"/>
              </w:rPr>
            </w:pPr>
            <w:r>
              <w:rPr>
                <w:spacing w:val="-2"/>
                <w:sz w:val="24"/>
              </w:rPr>
              <w:t>一级保护区内存在大量农</w:t>
            </w:r>
            <w:r>
              <w:rPr>
                <w:sz w:val="24"/>
              </w:rPr>
              <w:t>田；</w:t>
            </w:r>
          </w:p>
          <w:p>
            <w:pPr>
              <w:pStyle w:val="8"/>
              <w:numPr>
                <w:ilvl w:val="0"/>
                <w:numId w:val="3"/>
              </w:numPr>
              <w:tabs>
                <w:tab w:val="left" w:pos="710"/>
              </w:tabs>
              <w:spacing w:before="0" w:after="0" w:line="249" w:lineRule="auto"/>
              <w:ind w:left="108" w:right="149" w:firstLine="0"/>
              <w:jc w:val="left"/>
              <w:rPr>
                <w:sz w:val="24"/>
              </w:rPr>
            </w:pPr>
            <w:r>
              <w:rPr>
                <w:spacing w:val="-2"/>
                <w:sz w:val="24"/>
              </w:rPr>
              <w:t>二级保护区内村庄生活污</w:t>
            </w:r>
            <w:r>
              <w:rPr>
                <w:sz w:val="24"/>
              </w:rPr>
              <w:t>水没有实现集中收集和处理。</w:t>
            </w:r>
          </w:p>
        </w:tc>
        <w:tc>
          <w:tcPr>
            <w:tcW w:w="4976" w:type="dxa"/>
          </w:tcPr>
          <w:p>
            <w:pPr>
              <w:pStyle w:val="8"/>
              <w:spacing w:before="6" w:line="249" w:lineRule="auto"/>
              <w:ind w:left="107" w:right="97"/>
              <w:rPr>
                <w:sz w:val="24"/>
              </w:rPr>
            </w:pPr>
            <w:r>
              <w:rPr>
                <w:sz w:val="24"/>
              </w:rPr>
              <w:t>（1）保护区内耕地实行测土配方施肥技术，</w:t>
            </w:r>
            <w:r>
              <w:rPr>
                <w:spacing w:val="-6"/>
                <w:sz w:val="24"/>
              </w:rPr>
              <w:t>推广发展有机农业，严控化肥、农药等非点源</w:t>
            </w:r>
            <w:r>
              <w:rPr>
                <w:spacing w:val="-12"/>
                <w:sz w:val="24"/>
              </w:rPr>
              <w:t>污染，</w:t>
            </w:r>
            <w:r>
              <w:rPr>
                <w:sz w:val="24"/>
              </w:rPr>
              <w:t>2019</w:t>
            </w:r>
            <w:r>
              <w:rPr>
                <w:spacing w:val="-10"/>
                <w:sz w:val="24"/>
              </w:rPr>
              <w:t>年底前完成</w:t>
            </w:r>
            <w:r>
              <w:rPr>
                <w:spacing w:val="-154"/>
                <w:sz w:val="24"/>
              </w:rPr>
              <w:t>；</w:t>
            </w:r>
            <w:r>
              <w:rPr>
                <w:sz w:val="24"/>
              </w:rPr>
              <w:t>（2</w:t>
            </w:r>
            <w:r>
              <w:rPr>
                <w:spacing w:val="-34"/>
                <w:sz w:val="24"/>
              </w:rPr>
              <w:t>）</w:t>
            </w:r>
            <w:r>
              <w:rPr>
                <w:spacing w:val="-3"/>
                <w:sz w:val="24"/>
              </w:rPr>
              <w:t>在二级保护区内</w:t>
            </w:r>
            <w:r>
              <w:rPr>
                <w:sz w:val="24"/>
              </w:rPr>
              <w:t>村庄统一规划建设污水集中收集处理处理设</w:t>
            </w:r>
          </w:p>
          <w:p>
            <w:pPr>
              <w:pStyle w:val="8"/>
              <w:spacing w:line="289" w:lineRule="exact"/>
              <w:ind w:left="107" w:right="-15"/>
              <w:rPr>
                <w:sz w:val="24"/>
              </w:rPr>
            </w:pPr>
            <w:r>
              <w:rPr>
                <w:sz w:val="24"/>
              </w:rPr>
              <w:t>施，并引致保护区外排放，2022</w:t>
            </w:r>
            <w:r>
              <w:rPr>
                <w:spacing w:val="-9"/>
                <w:sz w:val="24"/>
              </w:rPr>
              <w:t>年底前完成。</w:t>
            </w:r>
          </w:p>
        </w:tc>
        <w:tc>
          <w:tcPr>
            <w:tcW w:w="1252" w:type="dxa"/>
          </w:tcPr>
          <w:p>
            <w:pPr>
              <w:pStyle w:val="8"/>
              <w:spacing w:before="3"/>
              <w:rPr>
                <w:rFonts w:ascii="Times New Roman"/>
                <w:sz w:val="28"/>
              </w:rPr>
            </w:pPr>
          </w:p>
          <w:p>
            <w:pPr>
              <w:pStyle w:val="8"/>
              <w:spacing w:before="1" w:line="249" w:lineRule="auto"/>
              <w:ind w:left="144" w:right="135"/>
              <w:jc w:val="both"/>
              <w:rPr>
                <w:sz w:val="24"/>
              </w:rPr>
            </w:pPr>
            <w:r>
              <w:rPr>
                <w:sz w:val="24"/>
              </w:rPr>
              <w:t>县农业农村局、县住建局</w:t>
            </w:r>
          </w:p>
        </w:tc>
        <w:tc>
          <w:tcPr>
            <w:tcW w:w="1377" w:type="dxa"/>
          </w:tcPr>
          <w:p>
            <w:pPr>
              <w:pStyle w:val="8"/>
              <w:spacing w:before="165"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2"/>
              <w:rPr>
                <w:rFonts w:ascii="Times New Roman"/>
                <w:sz w:val="28"/>
              </w:rPr>
            </w:pPr>
          </w:p>
          <w:p>
            <w:pPr>
              <w:pStyle w:val="8"/>
              <w:spacing w:line="249" w:lineRule="auto"/>
              <w:ind w:left="352" w:right="100" w:hanging="240"/>
              <w:rPr>
                <w:sz w:val="24"/>
              </w:rPr>
            </w:pPr>
            <w:r>
              <w:rPr>
                <w:sz w:val="24"/>
              </w:rPr>
              <w:t>监控能力建设</w:t>
            </w:r>
          </w:p>
        </w:tc>
        <w:tc>
          <w:tcPr>
            <w:tcW w:w="3510" w:type="dxa"/>
          </w:tcPr>
          <w:p>
            <w:pPr>
              <w:pStyle w:val="8"/>
              <w:spacing w:before="2"/>
              <w:rPr>
                <w:rFonts w:ascii="Times New Roman"/>
                <w:sz w:val="28"/>
              </w:rPr>
            </w:pPr>
          </w:p>
          <w:p>
            <w:pPr>
              <w:pStyle w:val="8"/>
              <w:spacing w:line="249" w:lineRule="auto"/>
              <w:ind w:left="108" w:right="24"/>
              <w:rPr>
                <w:sz w:val="24"/>
              </w:rPr>
            </w:pPr>
            <w:r>
              <w:rPr>
                <w:sz w:val="24"/>
              </w:rPr>
              <w:t>常规监测频次不规范；缺少全指标监测。</w:t>
            </w:r>
          </w:p>
        </w:tc>
        <w:tc>
          <w:tcPr>
            <w:tcW w:w="4976" w:type="dxa"/>
          </w:tcPr>
          <w:p>
            <w:pPr>
              <w:pStyle w:val="8"/>
              <w:spacing w:before="2"/>
              <w:rPr>
                <w:rFonts w:ascii="Times New Roman"/>
                <w:sz w:val="28"/>
              </w:rPr>
            </w:pPr>
          </w:p>
          <w:p>
            <w:pPr>
              <w:pStyle w:val="8"/>
              <w:spacing w:line="249" w:lineRule="auto"/>
              <w:ind w:left="107" w:right="38"/>
              <w:rPr>
                <w:sz w:val="24"/>
              </w:rPr>
            </w:pPr>
            <w:r>
              <w:rPr>
                <w:sz w:val="24"/>
              </w:rPr>
              <w:t>制定水源地监测方案，规范常规监测点位、监测指标及监测频次，2019年底前完成。</w:t>
            </w:r>
          </w:p>
        </w:tc>
        <w:tc>
          <w:tcPr>
            <w:tcW w:w="1252" w:type="dxa"/>
          </w:tcPr>
          <w:p>
            <w:pPr>
              <w:pStyle w:val="8"/>
              <w:rPr>
                <w:rFonts w:ascii="Times New Roman"/>
                <w:sz w:val="24"/>
              </w:rPr>
            </w:pPr>
          </w:p>
          <w:p>
            <w:pPr>
              <w:pStyle w:val="8"/>
              <w:spacing w:before="209"/>
              <w:ind w:left="144"/>
              <w:rPr>
                <w:sz w:val="24"/>
              </w:rPr>
            </w:pPr>
            <w:r>
              <w:rPr>
                <w:sz w:val="24"/>
              </w:rPr>
              <w:t>县环保局</w:t>
            </w:r>
          </w:p>
        </w:tc>
        <w:tc>
          <w:tcPr>
            <w:tcW w:w="1377" w:type="dxa"/>
          </w:tcPr>
          <w:p>
            <w:pPr>
              <w:pStyle w:val="8"/>
              <w:spacing w:before="7" w:line="247"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1"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rPr>
                <w:rFonts w:ascii="Times New Roman"/>
                <w:sz w:val="24"/>
              </w:rPr>
            </w:pPr>
          </w:p>
          <w:p>
            <w:pPr>
              <w:pStyle w:val="8"/>
              <w:rPr>
                <w:rFonts w:ascii="Times New Roman"/>
                <w:sz w:val="24"/>
              </w:rPr>
            </w:pPr>
          </w:p>
          <w:p>
            <w:pPr>
              <w:pStyle w:val="8"/>
              <w:spacing w:before="8"/>
              <w:rPr>
                <w:rFonts w:ascii="Times New Roman"/>
                <w:sz w:val="35"/>
              </w:rPr>
            </w:pPr>
          </w:p>
          <w:p>
            <w:pPr>
              <w:pStyle w:val="8"/>
              <w:spacing w:line="249" w:lineRule="auto"/>
              <w:ind w:left="112" w:right="100"/>
              <w:jc w:val="both"/>
              <w:rPr>
                <w:sz w:val="24"/>
              </w:rPr>
            </w:pPr>
            <w:r>
              <w:rPr>
                <w:sz w:val="24"/>
              </w:rPr>
              <w:t>风险防控与应急能力建设</w:t>
            </w:r>
          </w:p>
        </w:tc>
        <w:tc>
          <w:tcPr>
            <w:tcW w:w="3510" w:type="dxa"/>
          </w:tcPr>
          <w:p>
            <w:pPr>
              <w:pStyle w:val="8"/>
              <w:spacing w:before="5" w:line="249" w:lineRule="auto"/>
              <w:ind w:left="108" w:right="96"/>
              <w:rPr>
                <w:sz w:val="24"/>
              </w:rPr>
            </w:pPr>
            <w:r>
              <w:rPr>
                <w:sz w:val="24"/>
              </w:rPr>
              <w:t>（1）无风险源名录和风险防控</w:t>
            </w:r>
            <w:r>
              <w:rPr>
                <w:spacing w:val="-12"/>
                <w:sz w:val="24"/>
              </w:rPr>
              <w:t>方案；</w:t>
            </w:r>
            <w:r>
              <w:rPr>
                <w:spacing w:val="-8"/>
                <w:sz w:val="24"/>
              </w:rPr>
              <w:t>（2）</w:t>
            </w:r>
            <w:r>
              <w:rPr>
                <w:spacing w:val="-2"/>
                <w:sz w:val="24"/>
              </w:rPr>
              <w:t>没有定期或不定期</w:t>
            </w:r>
            <w:r>
              <w:rPr>
                <w:sz w:val="24"/>
              </w:rPr>
              <w:t>开展保护区及周边环境安全隐患排查和饮用水水源地环境风</w:t>
            </w:r>
            <w:r>
              <w:rPr>
                <w:spacing w:val="-39"/>
                <w:sz w:val="24"/>
              </w:rPr>
              <w:t>险评估；</w:t>
            </w:r>
            <w:r>
              <w:rPr>
                <w:sz w:val="24"/>
              </w:rPr>
              <w:t>（3</w:t>
            </w:r>
            <w:r>
              <w:rPr>
                <w:spacing w:val="-34"/>
                <w:sz w:val="24"/>
              </w:rPr>
              <w:t>）</w:t>
            </w:r>
            <w:r>
              <w:rPr>
                <w:spacing w:val="-2"/>
                <w:sz w:val="24"/>
              </w:rPr>
              <w:t>没有制定饮用水水</w:t>
            </w:r>
            <w:r>
              <w:rPr>
                <w:sz w:val="24"/>
              </w:rPr>
              <w:t>源地专项应急预案、突发环境</w:t>
            </w:r>
            <w:r>
              <w:rPr>
                <w:spacing w:val="-8"/>
                <w:sz w:val="24"/>
              </w:rPr>
              <w:t>事件应急处置技术方案，应急专</w:t>
            </w:r>
            <w:r>
              <w:rPr>
                <w:sz w:val="24"/>
              </w:rPr>
              <w:t>家库不完善，未实现“一源一</w:t>
            </w:r>
          </w:p>
          <w:p>
            <w:pPr>
              <w:pStyle w:val="8"/>
              <w:spacing w:line="287" w:lineRule="exact"/>
              <w:ind w:left="108"/>
              <w:rPr>
                <w:sz w:val="24"/>
              </w:rPr>
            </w:pPr>
            <w:r>
              <w:rPr>
                <w:sz w:val="24"/>
              </w:rPr>
              <w:t>案”。</w:t>
            </w:r>
          </w:p>
        </w:tc>
        <w:tc>
          <w:tcPr>
            <w:tcW w:w="4976" w:type="dxa"/>
          </w:tcPr>
          <w:p>
            <w:pPr>
              <w:pStyle w:val="8"/>
              <w:spacing w:before="2"/>
              <w:rPr>
                <w:rFonts w:ascii="Times New Roman"/>
                <w:sz w:val="28"/>
              </w:rPr>
            </w:pPr>
          </w:p>
          <w:p>
            <w:pPr>
              <w:pStyle w:val="8"/>
              <w:spacing w:line="249" w:lineRule="auto"/>
              <w:ind w:left="107" w:right="59"/>
              <w:rPr>
                <w:sz w:val="24"/>
              </w:rPr>
            </w:pPr>
            <w:r>
              <w:rPr>
                <w:sz w:val="24"/>
              </w:rPr>
              <w:t>（1）编制风险源名录和风险防控方案，编制饮用水水源地专项应急预案、饮用水水源地突发环境事件应急处置技术方案，并具备应急专家库，做到“一源一案”，定期演练和修订预案，2019年底前完成；（2）定期或不定期开展饮用水水源地保护区及周边环境安全隐患排查和饮用水水源地环境风险评估。</w:t>
            </w:r>
          </w:p>
        </w:tc>
        <w:tc>
          <w:tcPr>
            <w:tcW w:w="1252" w:type="dxa"/>
          </w:tcPr>
          <w:p>
            <w:pPr>
              <w:pStyle w:val="8"/>
              <w:rPr>
                <w:rFonts w:ascii="Times New Roman"/>
                <w:sz w:val="24"/>
              </w:rPr>
            </w:pPr>
          </w:p>
          <w:p>
            <w:pPr>
              <w:pStyle w:val="8"/>
              <w:rPr>
                <w:rFonts w:ascii="Times New Roman"/>
                <w:sz w:val="24"/>
              </w:rPr>
            </w:pPr>
          </w:p>
          <w:p>
            <w:pPr>
              <w:pStyle w:val="8"/>
              <w:rPr>
                <w:rFonts w:ascii="Times New Roman"/>
                <w:sz w:val="24"/>
              </w:rPr>
            </w:pPr>
          </w:p>
          <w:p>
            <w:pPr>
              <w:pStyle w:val="8"/>
              <w:rPr>
                <w:rFonts w:ascii="Times New Roman"/>
                <w:sz w:val="24"/>
              </w:rPr>
            </w:pPr>
          </w:p>
          <w:p>
            <w:pPr>
              <w:pStyle w:val="8"/>
              <w:spacing w:before="178"/>
              <w:ind w:left="144"/>
              <w:rPr>
                <w:sz w:val="24"/>
              </w:rPr>
            </w:pPr>
            <w:r>
              <w:rPr>
                <w:sz w:val="24"/>
              </w:rPr>
              <w:t>县环保局</w:t>
            </w:r>
          </w:p>
        </w:tc>
        <w:tc>
          <w:tcPr>
            <w:tcW w:w="1377" w:type="dxa"/>
          </w:tcPr>
          <w:p>
            <w:pPr>
              <w:pStyle w:val="8"/>
              <w:rPr>
                <w:rFonts w:ascii="Times New Roman"/>
                <w:sz w:val="24"/>
              </w:rPr>
            </w:pPr>
          </w:p>
          <w:p>
            <w:pPr>
              <w:pStyle w:val="8"/>
              <w:rPr>
                <w:rFonts w:ascii="Times New Roman"/>
                <w:sz w:val="24"/>
              </w:rPr>
            </w:pPr>
          </w:p>
          <w:p>
            <w:pPr>
              <w:pStyle w:val="8"/>
              <w:spacing w:before="8"/>
              <w:rPr>
                <w:rFonts w:ascii="Times New Roman"/>
                <w:sz w:val="35"/>
              </w:rPr>
            </w:pPr>
          </w:p>
          <w:p>
            <w:pPr>
              <w:pStyle w:val="8"/>
              <w:spacing w:line="249" w:lineRule="auto"/>
              <w:ind w:left="107" w:right="57"/>
              <w:jc w:val="center"/>
              <w:rPr>
                <w:sz w:val="24"/>
              </w:rPr>
            </w:pPr>
            <w:r>
              <w:rPr>
                <w:spacing w:val="-4"/>
                <w:sz w:val="24"/>
              </w:rPr>
              <w:t>郯城街道、</w:t>
            </w:r>
            <w:r>
              <w:rPr>
                <w:sz w:val="24"/>
              </w:rPr>
              <w:t>县水务公司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92" w:type="dxa"/>
            <w:vMerge w:val="continue"/>
            <w:tcBorders>
              <w:top w:val="nil"/>
            </w:tcBorders>
          </w:tcPr>
          <w:p>
            <w:pPr>
              <w:rPr>
                <w:sz w:val="2"/>
                <w:szCs w:val="2"/>
              </w:rPr>
            </w:pPr>
          </w:p>
        </w:tc>
        <w:tc>
          <w:tcPr>
            <w:tcW w:w="1020" w:type="dxa"/>
            <w:vMerge w:val="continue"/>
            <w:tcBorders>
              <w:top w:val="nil"/>
            </w:tcBorders>
          </w:tcPr>
          <w:p>
            <w:pPr>
              <w:rPr>
                <w:sz w:val="2"/>
                <w:szCs w:val="2"/>
              </w:rPr>
            </w:pPr>
          </w:p>
        </w:tc>
        <w:tc>
          <w:tcPr>
            <w:tcW w:w="1185" w:type="dxa"/>
          </w:tcPr>
          <w:p>
            <w:pPr>
              <w:pStyle w:val="8"/>
              <w:spacing w:before="81" w:line="249" w:lineRule="auto"/>
              <w:ind w:left="472" w:right="100" w:hanging="360"/>
              <w:rPr>
                <w:sz w:val="24"/>
              </w:rPr>
            </w:pPr>
            <w:r>
              <w:rPr>
                <w:sz w:val="24"/>
              </w:rPr>
              <w:t>保护区管理</w:t>
            </w:r>
          </w:p>
        </w:tc>
        <w:tc>
          <w:tcPr>
            <w:tcW w:w="3510" w:type="dxa"/>
          </w:tcPr>
          <w:p>
            <w:pPr>
              <w:pStyle w:val="8"/>
              <w:spacing w:before="9"/>
              <w:rPr>
                <w:rFonts w:ascii="Times New Roman"/>
                <w:sz w:val="20"/>
              </w:rPr>
            </w:pPr>
          </w:p>
          <w:p>
            <w:pPr>
              <w:pStyle w:val="8"/>
              <w:ind w:left="108"/>
              <w:rPr>
                <w:sz w:val="24"/>
              </w:rPr>
            </w:pPr>
            <w:r>
              <w:rPr>
                <w:sz w:val="24"/>
              </w:rPr>
              <w:t>水源地档案不完整。</w:t>
            </w:r>
          </w:p>
        </w:tc>
        <w:tc>
          <w:tcPr>
            <w:tcW w:w="4976" w:type="dxa"/>
          </w:tcPr>
          <w:p>
            <w:pPr>
              <w:pStyle w:val="8"/>
              <w:spacing w:before="81" w:line="249" w:lineRule="auto"/>
              <w:ind w:left="107" w:right="97"/>
              <w:rPr>
                <w:sz w:val="24"/>
              </w:rPr>
            </w:pPr>
            <w:r>
              <w:rPr>
                <w:spacing w:val="-20"/>
                <w:sz w:val="24"/>
              </w:rPr>
              <w:t>规范完善水源地档案，实现“一源一档”，</w:t>
            </w:r>
            <w:r>
              <w:rPr>
                <w:spacing w:val="-3"/>
                <w:sz w:val="24"/>
              </w:rPr>
              <w:t>2019</w:t>
            </w:r>
            <w:r>
              <w:rPr>
                <w:sz w:val="24"/>
              </w:rPr>
              <w:t>年底前完成。</w:t>
            </w:r>
          </w:p>
        </w:tc>
        <w:tc>
          <w:tcPr>
            <w:tcW w:w="1252" w:type="dxa"/>
          </w:tcPr>
          <w:p>
            <w:pPr>
              <w:pStyle w:val="8"/>
              <w:spacing w:before="9"/>
              <w:rPr>
                <w:rFonts w:ascii="Times New Roman"/>
                <w:sz w:val="20"/>
              </w:rPr>
            </w:pPr>
          </w:p>
          <w:p>
            <w:pPr>
              <w:pStyle w:val="8"/>
              <w:ind w:left="144"/>
              <w:rPr>
                <w:sz w:val="24"/>
              </w:rPr>
            </w:pPr>
            <w:r>
              <w:rPr>
                <w:sz w:val="24"/>
              </w:rPr>
              <w:t>县环保局</w:t>
            </w:r>
          </w:p>
        </w:tc>
        <w:tc>
          <w:tcPr>
            <w:tcW w:w="1377" w:type="dxa"/>
          </w:tcPr>
          <w:p>
            <w:pPr>
              <w:pStyle w:val="8"/>
              <w:spacing w:before="81" w:line="249" w:lineRule="auto"/>
              <w:ind w:left="568" w:right="196" w:hanging="360"/>
              <w:rPr>
                <w:sz w:val="24"/>
              </w:rPr>
            </w:pPr>
            <w:r>
              <w:rPr>
                <w:sz w:val="24"/>
              </w:rPr>
              <w:t>县水务公司</w:t>
            </w:r>
          </w:p>
        </w:tc>
      </w:tr>
    </w:tbl>
    <w:p/>
    <w:sectPr>
      <w:footerReference r:id="rId7" w:type="default"/>
      <w:pgSz w:w="16840" w:h="11910" w:orient="landscape"/>
      <w:pgMar w:top="1100" w:right="1320" w:bottom="1080" w:left="1360" w:header="0" w:footer="8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9283700</wp:posOffset>
              </wp:positionH>
              <wp:positionV relativeFrom="page">
                <wp:posOffset>6804660</wp:posOffset>
              </wp:positionV>
              <wp:extent cx="414655" cy="1987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414655" cy="198755"/>
                      </a:xfrm>
                      <a:prstGeom prst="rect">
                        <a:avLst/>
                      </a:prstGeom>
                      <a:noFill/>
                      <a:ln>
                        <a:noFill/>
                      </a:ln>
                    </wps:spPr>
                    <wps:txbx>
                      <w:txbxContent>
                        <w:p>
                          <w:pPr>
                            <w:spacing w:before="0" w:line="284" w:lineRule="exact"/>
                            <w:ind w:left="20" w:right="0" w:firstLine="0"/>
                            <w:jc w:val="left"/>
                            <w:rPr>
                              <w:sz w:val="24"/>
                            </w:rPr>
                          </w:pPr>
                          <w:r>
                            <w:rPr>
                              <w:w w:val="105"/>
                              <w:sz w:val="24"/>
                            </w:rPr>
                            <w:t>-9-</w:t>
                          </w:r>
                        </w:p>
                      </w:txbxContent>
                    </wps:txbx>
                    <wps:bodyPr lIns="0" tIns="0" rIns="0" bIns="0" upright="1"/>
                  </wps:wsp>
                </a:graphicData>
              </a:graphic>
            </wp:anchor>
          </w:drawing>
        </mc:Choice>
        <mc:Fallback>
          <w:pict>
            <v:shape id="文本框 3" o:spid="_x0000_s1026" o:spt="202" type="#_x0000_t202" style="position:absolute;left:0pt;margin-left:731pt;margin-top:535.8pt;height:15.65pt;width:32.65pt;mso-position-horizontal-relative:page;mso-position-vertical-relative:page;z-index:-251657216;mso-width-relative:page;mso-height-relative:page;" filled="f" stroked="f" coordsize="21600,21600" o:gfxdata="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7+PIrbAAAADwEAAA8AAAAAAAAAAQAgAAAAIgAAAGRycy9kb3ducmV2LnhtbFBL&#10;AQIUABQAAAAIAIdO4kAMB8lsugEAAHEDAAAOAAAAAAAAAAEAIAAAACoBAABkcnMvZTJvRG9jLnht&#10;bFBLBQYAAAAABgAGAFkBAABWBQAAAAA=&#10;">
              <v:fill on="f" focussize="0,0"/>
              <v:stroke on="f"/>
              <v:imagedata o:title=""/>
              <o:lock v:ext="edit" aspectratio="f"/>
              <v:textbox inset="0mm,0mm,0mm,0mm">
                <w:txbxContent>
                  <w:p>
                    <w:pPr>
                      <w:spacing w:before="0" w:line="284" w:lineRule="exact"/>
                      <w:ind w:left="20" w:right="0" w:firstLine="0"/>
                      <w:jc w:val="left"/>
                      <w:rPr>
                        <w:sz w:val="24"/>
                      </w:rPr>
                    </w:pPr>
                    <w:r>
                      <w:rPr>
                        <w:w w:val="105"/>
                        <w:sz w:val="24"/>
                      </w:rPr>
                      <w:t>-9-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994410</wp:posOffset>
              </wp:positionH>
              <wp:positionV relativeFrom="page">
                <wp:posOffset>6804660</wp:posOffset>
              </wp:positionV>
              <wp:extent cx="476885" cy="1987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476885" cy="198755"/>
                      </a:xfrm>
                      <a:prstGeom prst="rect">
                        <a:avLst/>
                      </a:prstGeom>
                      <a:noFill/>
                      <a:ln>
                        <a:noFill/>
                      </a:ln>
                    </wps:spPr>
                    <wps:txbx>
                      <w:txbxContent>
                        <w:p>
                          <w:pPr>
                            <w:spacing w:before="0" w:line="284" w:lineRule="exact"/>
                            <w:ind w:left="20" w:right="0" w:firstLine="0"/>
                            <w:jc w:val="left"/>
                            <w:rPr>
                              <w:sz w:val="24"/>
                            </w:rPr>
                          </w:pPr>
                          <w:r>
                            <w:rPr>
                              <w:sz w:val="24"/>
                            </w:rPr>
                            <w:t>-10-</w:t>
                          </w:r>
                        </w:p>
                      </w:txbxContent>
                    </wps:txbx>
                    <wps:bodyPr lIns="0" tIns="0" rIns="0" bIns="0" upright="1"/>
                  </wps:wsp>
                </a:graphicData>
              </a:graphic>
            </wp:anchor>
          </w:drawing>
        </mc:Choice>
        <mc:Fallback>
          <w:pict>
            <v:shape id="文本框 4" o:spid="_x0000_s1026" o:spt="202" type="#_x0000_t202" style="position:absolute;left:0pt;margin-left:78.3pt;margin-top:535.8pt;height:15.65pt;width:37.55pt;mso-position-horizontal-relative:page;mso-position-vertical-relative:page;z-index:-251656192;mso-width-relative:page;mso-height-relative:page;" filled="f" stroked="f" coordsize="21600,21600" o:gfxdata="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pXEf3aAAAADQEAAA8AAAAAAAAAAQAgAAAAIgAAAGRycy9kb3ducmV2LnhtbFBL&#10;AQIUABQAAAAIAIdO4kBNGMhZuwEAAHEDAAAOAAAAAAAAAAEAIAAAACkBAABkcnMvZTJvRG9jLnht&#10;bFBLBQYAAAAABgAGAFkBAABWBQAAAAA=&#10;">
              <v:fill on="f" focussize="0,0"/>
              <v:stroke on="f"/>
              <v:imagedata o:title=""/>
              <o:lock v:ext="edit" aspectratio="f"/>
              <v:textbox inset="0mm,0mm,0mm,0mm">
                <w:txbxContent>
                  <w:p>
                    <w:pPr>
                      <w:spacing w:before="0" w:line="284" w:lineRule="exact"/>
                      <w:ind w:left="20" w:right="0" w:firstLine="0"/>
                      <w:jc w:val="left"/>
                      <w:rPr>
                        <w:sz w:val="24"/>
                      </w:rPr>
                    </w:pPr>
                    <w:r>
                      <w:rPr>
                        <w:sz w:val="24"/>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9229725</wp:posOffset>
              </wp:positionH>
              <wp:positionV relativeFrom="page">
                <wp:posOffset>6804660</wp:posOffset>
              </wp:positionV>
              <wp:extent cx="467995" cy="198755"/>
              <wp:effectExtent l="0" t="0" r="0" b="0"/>
              <wp:wrapNone/>
              <wp:docPr id="3" name="文本框 5"/>
              <wp:cNvGraphicFramePr/>
              <a:graphic xmlns:a="http://schemas.openxmlformats.org/drawingml/2006/main">
                <a:graphicData uri="http://schemas.microsoft.com/office/word/2010/wordprocessingShape">
                  <wps:wsp>
                    <wps:cNvSpPr txBox="1"/>
                    <wps:spPr>
                      <a:xfrm>
                        <a:off x="0" y="0"/>
                        <a:ext cx="467995" cy="198755"/>
                      </a:xfrm>
                      <a:prstGeom prst="rect">
                        <a:avLst/>
                      </a:prstGeom>
                      <a:noFill/>
                      <a:ln>
                        <a:noFill/>
                      </a:ln>
                    </wps:spPr>
                    <wps:txbx>
                      <w:txbxContent>
                        <w:p>
                          <w:pPr>
                            <w:spacing w:before="0" w:line="284" w:lineRule="exact"/>
                            <w:ind w:left="20" w:right="0" w:firstLine="0"/>
                            <w:jc w:val="left"/>
                            <w:rPr>
                              <w:sz w:val="24"/>
                            </w:rPr>
                          </w:pPr>
                          <w:r>
                            <w:rPr>
                              <w:sz w:val="24"/>
                            </w:rPr>
                            <w:t>-11-</w:t>
                          </w:r>
                        </w:p>
                      </w:txbxContent>
                    </wps:txbx>
                    <wps:bodyPr lIns="0" tIns="0" rIns="0" bIns="0" upright="1"/>
                  </wps:wsp>
                </a:graphicData>
              </a:graphic>
            </wp:anchor>
          </w:drawing>
        </mc:Choice>
        <mc:Fallback>
          <w:pict>
            <v:shape id="文本框 5" o:spid="_x0000_s1026" o:spt="202" type="#_x0000_t202" style="position:absolute;left:0pt;margin-left:726.75pt;margin-top:535.8pt;height:15.65pt;width:36.85pt;mso-position-horizontal-relative:page;mso-position-vertical-relative:page;z-index:-251655168;mso-width-relative:page;mso-height-relative:page;" filled="f" stroked="f" coordsize="21600,21600" o:gfxdata="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O1kzfcAAAADwEAAA8AAAAAAAAAAQAgAAAAIgAAAGRycy9kb3ducmV2Lnht&#10;bFBLAQIUABQAAAAIAIdO4kDnnozPvAEAAHEDAAAOAAAAAAAAAAEAIAAAACsBAABkcnMvZTJvRG9j&#10;LnhtbFBLBQYAAAAABgAGAFkBAABZBQAAAAA=&#10;">
              <v:fill on="f" focussize="0,0"/>
              <v:stroke on="f"/>
              <v:imagedata o:title=""/>
              <o:lock v:ext="edit" aspectratio="f"/>
              <v:textbox inset="0mm,0mm,0mm,0mm">
                <w:txbxContent>
                  <w:p>
                    <w:pPr>
                      <w:spacing w:before="0" w:line="284" w:lineRule="exact"/>
                      <w:ind w:left="20" w:right="0" w:firstLine="0"/>
                      <w:jc w:val="left"/>
                      <w:rPr>
                        <w:sz w:val="24"/>
                      </w:rPr>
                    </w:pPr>
                    <w:r>
                      <w:rPr>
                        <w:sz w:val="24"/>
                      </w:rPr>
                      <w:t>-11-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0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980" w:hanging="601"/>
      </w:pPr>
      <w:rPr>
        <w:rFonts w:hint="default"/>
        <w:lang w:val="zh-CN" w:eastAsia="zh-CN" w:bidi="zh-CN"/>
      </w:rPr>
    </w:lvl>
    <w:lvl w:ilvl="2" w:tentative="0">
      <w:start w:val="0"/>
      <w:numFmt w:val="bullet"/>
      <w:lvlText w:val="•"/>
      <w:lvlJc w:val="left"/>
      <w:pPr>
        <w:ind w:left="1260" w:hanging="601"/>
      </w:pPr>
      <w:rPr>
        <w:rFonts w:hint="default"/>
        <w:lang w:val="zh-CN" w:eastAsia="zh-CN" w:bidi="zh-CN"/>
      </w:rPr>
    </w:lvl>
    <w:lvl w:ilvl="3" w:tentative="0">
      <w:start w:val="0"/>
      <w:numFmt w:val="bullet"/>
      <w:lvlText w:val="•"/>
      <w:lvlJc w:val="left"/>
      <w:pPr>
        <w:ind w:left="1540" w:hanging="601"/>
      </w:pPr>
      <w:rPr>
        <w:rFonts w:hint="default"/>
        <w:lang w:val="zh-CN" w:eastAsia="zh-CN" w:bidi="zh-CN"/>
      </w:rPr>
    </w:lvl>
    <w:lvl w:ilvl="4" w:tentative="0">
      <w:start w:val="0"/>
      <w:numFmt w:val="bullet"/>
      <w:lvlText w:val="•"/>
      <w:lvlJc w:val="left"/>
      <w:pPr>
        <w:ind w:left="1820" w:hanging="601"/>
      </w:pPr>
      <w:rPr>
        <w:rFonts w:hint="default"/>
        <w:lang w:val="zh-CN" w:eastAsia="zh-CN" w:bidi="zh-CN"/>
      </w:rPr>
    </w:lvl>
    <w:lvl w:ilvl="5" w:tentative="0">
      <w:start w:val="0"/>
      <w:numFmt w:val="bullet"/>
      <w:lvlText w:val="•"/>
      <w:lvlJc w:val="left"/>
      <w:pPr>
        <w:ind w:left="2100" w:hanging="601"/>
      </w:pPr>
      <w:rPr>
        <w:rFonts w:hint="default"/>
        <w:lang w:val="zh-CN" w:eastAsia="zh-CN" w:bidi="zh-CN"/>
      </w:rPr>
    </w:lvl>
    <w:lvl w:ilvl="6" w:tentative="0">
      <w:start w:val="0"/>
      <w:numFmt w:val="bullet"/>
      <w:lvlText w:val="•"/>
      <w:lvlJc w:val="left"/>
      <w:pPr>
        <w:ind w:left="2380" w:hanging="601"/>
      </w:pPr>
      <w:rPr>
        <w:rFonts w:hint="default"/>
        <w:lang w:val="zh-CN" w:eastAsia="zh-CN" w:bidi="zh-CN"/>
      </w:rPr>
    </w:lvl>
    <w:lvl w:ilvl="7" w:tentative="0">
      <w:start w:val="0"/>
      <w:numFmt w:val="bullet"/>
      <w:lvlText w:val="•"/>
      <w:lvlJc w:val="left"/>
      <w:pPr>
        <w:ind w:left="2660" w:hanging="601"/>
      </w:pPr>
      <w:rPr>
        <w:rFonts w:hint="default"/>
        <w:lang w:val="zh-CN" w:eastAsia="zh-CN" w:bidi="zh-CN"/>
      </w:rPr>
    </w:lvl>
    <w:lvl w:ilvl="8" w:tentative="0">
      <w:start w:val="0"/>
      <w:numFmt w:val="bullet"/>
      <w:lvlText w:val="•"/>
      <w:lvlJc w:val="left"/>
      <w:pPr>
        <w:ind w:left="2940" w:hanging="60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08" w:hanging="601"/>
        <w:jc w:val="left"/>
      </w:pPr>
      <w:rPr>
        <w:rFonts w:hint="default" w:ascii="仿宋" w:hAnsi="仿宋" w:eastAsia="仿宋" w:cs="仿宋"/>
        <w:spacing w:val="-68"/>
        <w:w w:val="100"/>
        <w:sz w:val="22"/>
        <w:szCs w:val="22"/>
        <w:lang w:val="zh-CN" w:eastAsia="zh-CN" w:bidi="zh-CN"/>
      </w:rPr>
    </w:lvl>
    <w:lvl w:ilvl="1" w:tentative="0">
      <w:start w:val="0"/>
      <w:numFmt w:val="bullet"/>
      <w:lvlText w:val="•"/>
      <w:lvlJc w:val="left"/>
      <w:pPr>
        <w:ind w:left="440" w:hanging="601"/>
      </w:pPr>
      <w:rPr>
        <w:rFonts w:hint="default"/>
        <w:lang w:val="zh-CN" w:eastAsia="zh-CN" w:bidi="zh-CN"/>
      </w:rPr>
    </w:lvl>
    <w:lvl w:ilvl="2" w:tentative="0">
      <w:start w:val="0"/>
      <w:numFmt w:val="bullet"/>
      <w:lvlText w:val="•"/>
      <w:lvlJc w:val="left"/>
      <w:pPr>
        <w:ind w:left="780" w:hanging="601"/>
      </w:pPr>
      <w:rPr>
        <w:rFonts w:hint="default"/>
        <w:lang w:val="zh-CN" w:eastAsia="zh-CN" w:bidi="zh-CN"/>
      </w:rPr>
    </w:lvl>
    <w:lvl w:ilvl="3" w:tentative="0">
      <w:start w:val="0"/>
      <w:numFmt w:val="bullet"/>
      <w:lvlText w:val="•"/>
      <w:lvlJc w:val="left"/>
      <w:pPr>
        <w:ind w:left="1120" w:hanging="601"/>
      </w:pPr>
      <w:rPr>
        <w:rFonts w:hint="default"/>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1800" w:hanging="601"/>
      </w:pPr>
      <w:rPr>
        <w:rFonts w:hint="default"/>
        <w:lang w:val="zh-CN" w:eastAsia="zh-CN" w:bidi="zh-CN"/>
      </w:rPr>
    </w:lvl>
    <w:lvl w:ilvl="6" w:tentative="0">
      <w:start w:val="0"/>
      <w:numFmt w:val="bullet"/>
      <w:lvlText w:val="•"/>
      <w:lvlJc w:val="left"/>
      <w:pPr>
        <w:ind w:left="2140" w:hanging="601"/>
      </w:pPr>
      <w:rPr>
        <w:rFonts w:hint="default"/>
        <w:lang w:val="zh-CN" w:eastAsia="zh-CN" w:bidi="zh-CN"/>
      </w:rPr>
    </w:lvl>
    <w:lvl w:ilvl="7" w:tentative="0">
      <w:start w:val="0"/>
      <w:numFmt w:val="bullet"/>
      <w:lvlText w:val="•"/>
      <w:lvlJc w:val="left"/>
      <w:pPr>
        <w:ind w:left="2480" w:hanging="601"/>
      </w:pPr>
      <w:rPr>
        <w:rFonts w:hint="default"/>
        <w:lang w:val="zh-CN" w:eastAsia="zh-CN" w:bidi="zh-CN"/>
      </w:rPr>
    </w:lvl>
    <w:lvl w:ilvl="8" w:tentative="0">
      <w:start w:val="0"/>
      <w:numFmt w:val="bullet"/>
      <w:lvlText w:val="•"/>
      <w:lvlJc w:val="left"/>
      <w:pPr>
        <w:ind w:left="2820" w:hanging="601"/>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0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440" w:hanging="601"/>
      </w:pPr>
      <w:rPr>
        <w:rFonts w:hint="default"/>
        <w:lang w:val="zh-CN" w:eastAsia="zh-CN" w:bidi="zh-CN"/>
      </w:rPr>
    </w:lvl>
    <w:lvl w:ilvl="2" w:tentative="0">
      <w:start w:val="0"/>
      <w:numFmt w:val="bullet"/>
      <w:lvlText w:val="•"/>
      <w:lvlJc w:val="left"/>
      <w:pPr>
        <w:ind w:left="780" w:hanging="601"/>
      </w:pPr>
      <w:rPr>
        <w:rFonts w:hint="default"/>
        <w:lang w:val="zh-CN" w:eastAsia="zh-CN" w:bidi="zh-CN"/>
      </w:rPr>
    </w:lvl>
    <w:lvl w:ilvl="3" w:tentative="0">
      <w:start w:val="0"/>
      <w:numFmt w:val="bullet"/>
      <w:lvlText w:val="•"/>
      <w:lvlJc w:val="left"/>
      <w:pPr>
        <w:ind w:left="1120" w:hanging="601"/>
      </w:pPr>
      <w:rPr>
        <w:rFonts w:hint="default"/>
        <w:lang w:val="zh-CN" w:eastAsia="zh-CN" w:bidi="zh-CN"/>
      </w:rPr>
    </w:lvl>
    <w:lvl w:ilvl="4" w:tentative="0">
      <w:start w:val="0"/>
      <w:numFmt w:val="bullet"/>
      <w:lvlText w:val="•"/>
      <w:lvlJc w:val="left"/>
      <w:pPr>
        <w:ind w:left="1460" w:hanging="601"/>
      </w:pPr>
      <w:rPr>
        <w:rFonts w:hint="default"/>
        <w:lang w:val="zh-CN" w:eastAsia="zh-CN" w:bidi="zh-CN"/>
      </w:rPr>
    </w:lvl>
    <w:lvl w:ilvl="5" w:tentative="0">
      <w:start w:val="0"/>
      <w:numFmt w:val="bullet"/>
      <w:lvlText w:val="•"/>
      <w:lvlJc w:val="left"/>
      <w:pPr>
        <w:ind w:left="1800" w:hanging="601"/>
      </w:pPr>
      <w:rPr>
        <w:rFonts w:hint="default"/>
        <w:lang w:val="zh-CN" w:eastAsia="zh-CN" w:bidi="zh-CN"/>
      </w:rPr>
    </w:lvl>
    <w:lvl w:ilvl="6" w:tentative="0">
      <w:start w:val="0"/>
      <w:numFmt w:val="bullet"/>
      <w:lvlText w:val="•"/>
      <w:lvlJc w:val="left"/>
      <w:pPr>
        <w:ind w:left="2140" w:hanging="601"/>
      </w:pPr>
      <w:rPr>
        <w:rFonts w:hint="default"/>
        <w:lang w:val="zh-CN" w:eastAsia="zh-CN" w:bidi="zh-CN"/>
      </w:rPr>
    </w:lvl>
    <w:lvl w:ilvl="7" w:tentative="0">
      <w:start w:val="0"/>
      <w:numFmt w:val="bullet"/>
      <w:lvlText w:val="•"/>
      <w:lvlJc w:val="left"/>
      <w:pPr>
        <w:ind w:left="2480" w:hanging="601"/>
      </w:pPr>
      <w:rPr>
        <w:rFonts w:hint="default"/>
        <w:lang w:val="zh-CN" w:eastAsia="zh-CN" w:bidi="zh-CN"/>
      </w:rPr>
    </w:lvl>
    <w:lvl w:ilvl="8" w:tentative="0">
      <w:start w:val="0"/>
      <w:numFmt w:val="bullet"/>
      <w:lvlText w:val="•"/>
      <w:lvlJc w:val="left"/>
      <w:pPr>
        <w:ind w:left="2820" w:hanging="601"/>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YTVhZWY4NjQ2NjIwNmMzODJhMTNmZDcwOWIwMDIifQ=="/>
  </w:docVars>
  <w:rsids>
    <w:rsidRoot w:val="00000000"/>
    <w:rsid w:val="02810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561" w:lineRule="exact"/>
      <w:ind w:left="280" w:right="437"/>
      <w:outlineLvl w:val="1"/>
    </w:pPr>
    <w:rPr>
      <w:rFonts w:ascii="宋体" w:hAnsi="宋体" w:eastAsia="宋体" w:cs="宋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5766</Words>
  <Characters>5953</Characters>
  <TotalTime>19</TotalTime>
  <ScaleCrop>false</ScaleCrop>
  <LinksUpToDate>false</LinksUpToDate>
  <CharactersWithSpaces>6094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2022-10-19T09:26:00Z</dcterms:created>
  <dc:creator>Administrator.PC-201707211038</dc:creator>
  <cp:lastModifiedBy>吃不起土的王紫莹</cp:lastModifiedBy>
  <dcterms:modified xsi:type="dcterms:W3CDTF">2022-10-19T09:46:53Z</dcterms:modified>
  <dc:title>郯政办字〔2019〕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2019-12-26T00:00:00Z</vt:filetime>
  </property>
  <property fmtid="{D5CDD505-2E9C-101B-9397-08002B2CF9AE}" pid="3" name="Creator">
    <vt:lpwstr>WPS 文字</vt:lpwstr>
  </property>
  <property fmtid="{D5CDD505-2E9C-101B-9397-08002B2CF9AE}" pid="4" name="LastSaved">
    <vt:filetime>2022-10-19T00:00:00Z</vt:filetime>
  </property>
  <property fmtid="{D5CDD505-2E9C-101B-9397-08002B2CF9AE}" pid="5" name="KSOProductBuildVer">
    <vt:lpwstr>2052-11.1.0.12598</vt:lpwstr>
  </property>
  <property fmtid="{D5CDD505-2E9C-101B-9397-08002B2CF9AE}" pid="6" name="ICV">
    <vt:lpwstr>949A0ACB2A854E1C97BEE73EE67E0B91</vt:lpwstr>
  </property>
</Properties>
</file>