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BAA5"/>
    <w:p w14:paraId="106D4398">
      <w:pPr>
        <w:spacing w:line="720" w:lineRule="auto"/>
        <w:jc w:val="center"/>
      </w:pPr>
      <w:r>
        <w:drawing>
          <wp:inline distT="0" distB="0" distL="0" distR="0">
            <wp:extent cx="3316605" cy="3599815"/>
            <wp:effectExtent l="0" t="0" r="17145" b="635"/>
            <wp:docPr id="2" name="图片 1" descr="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gh.jpg"/>
                    <pic:cNvPicPr>
                      <a:picLocks noChangeAspect="1"/>
                    </pic:cNvPicPr>
                  </pic:nvPicPr>
                  <pic:blipFill>
                    <a:blip r:embed="rId11" cstate="print"/>
                    <a:stretch>
                      <a:fillRect/>
                    </a:stretch>
                  </pic:blipFill>
                  <pic:spPr>
                    <a:xfrm>
                      <a:off x="0" y="0"/>
                      <a:ext cx="3316872" cy="3600000"/>
                    </a:xfrm>
                    <a:prstGeom prst="rect">
                      <a:avLst/>
                    </a:prstGeom>
                    <a:ln w="0">
                      <a:noFill/>
                    </a:ln>
                  </pic:spPr>
                </pic:pic>
              </a:graphicData>
            </a:graphic>
          </wp:inline>
        </w:drawing>
      </w:r>
    </w:p>
    <w:p w14:paraId="5E1D11E6">
      <w:pPr>
        <w:spacing w:line="720" w:lineRule="auto"/>
        <w:jc w:val="center"/>
        <w:rPr>
          <w:rFonts w:ascii="方正小标宋简体" w:eastAsia="方正小标宋简体"/>
          <w:sz w:val="84"/>
          <w:szCs w:val="84"/>
        </w:rPr>
      </w:pPr>
      <w:r>
        <w:rPr>
          <w:rFonts w:hint="eastAsia" w:ascii="方正小标宋简体" w:eastAsia="方正小标宋简体"/>
          <w:sz w:val="84"/>
          <w:szCs w:val="84"/>
        </w:rPr>
        <w:t>郯城县人民政府公报</w:t>
      </w:r>
    </w:p>
    <w:p w14:paraId="2498B34D">
      <w:pPr>
        <w:spacing w:line="720" w:lineRule="auto"/>
        <w:jc w:val="center"/>
        <w:rPr>
          <w:rFonts w:ascii="方正小标宋简体" w:eastAsia="方正小标宋简体"/>
          <w:sz w:val="44"/>
          <w:szCs w:val="44"/>
        </w:rPr>
      </w:pPr>
    </w:p>
    <w:p w14:paraId="0111F4EE">
      <w:pPr>
        <w:spacing w:line="720" w:lineRule="auto"/>
        <w:jc w:val="center"/>
        <w:rPr>
          <w:rFonts w:ascii="方正小标宋简体" w:eastAsia="方正小标宋简体"/>
          <w:sz w:val="44"/>
          <w:szCs w:val="44"/>
        </w:rPr>
      </w:pPr>
    </w:p>
    <w:p w14:paraId="2BEC9ACA">
      <w:pPr>
        <w:spacing w:line="720" w:lineRule="auto"/>
        <w:jc w:val="both"/>
        <w:rPr>
          <w:rFonts w:ascii="方正小标宋简体" w:eastAsia="方正小标宋简体"/>
          <w:sz w:val="44"/>
          <w:szCs w:val="44"/>
        </w:rPr>
      </w:pPr>
    </w:p>
    <w:p w14:paraId="346255BB">
      <w:pPr>
        <w:pStyle w:val="2"/>
      </w:pPr>
    </w:p>
    <w:p w14:paraId="66A3B604">
      <w:pPr>
        <w:spacing w:line="800" w:lineRule="exact"/>
        <w:jc w:val="center"/>
        <w:rPr>
          <w:rFonts w:hint="default" w:ascii="方正小标宋简体" w:eastAsia="方正小标宋简体"/>
          <w:w w:val="200"/>
          <w:sz w:val="52"/>
          <w:szCs w:val="52"/>
          <w:lang w:val="en-US" w:eastAsia="zh-CN"/>
        </w:rPr>
      </w:pPr>
      <w:r>
        <w:rPr>
          <w:rFonts w:hint="eastAsia" w:ascii="方正小标宋简体" w:eastAsia="方正小标宋简体"/>
          <w:w w:val="200"/>
          <w:sz w:val="52"/>
          <w:szCs w:val="52"/>
        </w:rPr>
        <w:t>20</w:t>
      </w:r>
      <w:r>
        <w:rPr>
          <w:rFonts w:hint="eastAsia" w:ascii="方正小标宋简体" w:eastAsia="方正小标宋简体"/>
          <w:w w:val="200"/>
          <w:sz w:val="52"/>
          <w:szCs w:val="52"/>
          <w:lang w:val="en-US" w:eastAsia="zh-CN"/>
        </w:rPr>
        <w:t>25</w:t>
      </w:r>
    </w:p>
    <w:p w14:paraId="23997D39">
      <w:pPr>
        <w:spacing w:line="800" w:lineRule="exact"/>
        <w:jc w:val="center"/>
        <w:rPr>
          <w:rFonts w:hint="eastAsia" w:ascii="文星仿宋" w:eastAsia="文星仿宋"/>
          <w:sz w:val="24"/>
          <w:szCs w:val="24"/>
          <w:lang w:eastAsia="zh-CN"/>
        </w:rPr>
      </w:pPr>
      <w:r>
        <w:rPr>
          <w:rFonts w:hint="eastAsia" w:ascii="方正小标宋简体" w:eastAsia="方正小标宋简体"/>
          <w:sz w:val="48"/>
          <w:szCs w:val="48"/>
          <w:lang w:val="en-US" w:eastAsia="zh-CN"/>
        </w:rPr>
        <w:t xml:space="preserve">  </w:t>
      </w:r>
      <w:r>
        <w:rPr>
          <w:rFonts w:hint="eastAsia" w:ascii="方正小标宋简体" w:eastAsia="方正小标宋简体"/>
          <w:sz w:val="48"/>
          <w:szCs w:val="48"/>
        </w:rPr>
        <w:t>第</w:t>
      </w:r>
      <w:r>
        <w:rPr>
          <w:rFonts w:hint="eastAsia" w:ascii="方正小标宋简体" w:eastAsia="方正小标宋简体"/>
          <w:sz w:val="48"/>
          <w:szCs w:val="48"/>
          <w:lang w:val="en-US" w:eastAsia="zh-CN"/>
        </w:rPr>
        <w:t>2</w:t>
      </w:r>
      <w:r>
        <w:rPr>
          <w:rFonts w:hint="eastAsia" w:ascii="方正小标宋简体" w:eastAsia="方正小标宋简体"/>
          <w:sz w:val="48"/>
          <w:szCs w:val="48"/>
        </w:rPr>
        <w:t>期</w:t>
      </w:r>
      <w:r>
        <w:rPr>
          <w:rFonts w:hint="eastAsia" w:ascii="文星仿宋" w:eastAsia="文星仿宋"/>
          <w:sz w:val="24"/>
          <w:szCs w:val="24"/>
          <w:lang w:eastAsia="zh-CN"/>
        </w:rPr>
        <w:tab/>
      </w:r>
    </w:p>
    <w:p w14:paraId="3E408ED4">
      <w:pPr>
        <w:spacing w:line="480" w:lineRule="exact"/>
        <w:jc w:val="center"/>
        <w:rPr>
          <w:rFonts w:hint="eastAsia" w:ascii="方正小标宋简体" w:eastAsia="方正小标宋简体"/>
          <w:sz w:val="36"/>
          <w:szCs w:val="36"/>
        </w:rPr>
      </w:pPr>
    </w:p>
    <w:p w14:paraId="1C0A2A3E">
      <w:pPr>
        <w:spacing w:line="480" w:lineRule="exact"/>
        <w:jc w:val="center"/>
        <w:rPr>
          <w:rFonts w:hint="eastAsia" w:ascii="方正小标宋简体" w:eastAsia="方正小标宋简体"/>
          <w:sz w:val="36"/>
          <w:szCs w:val="36"/>
        </w:rPr>
        <w:sectPr>
          <w:pgSz w:w="11906" w:h="16838"/>
          <w:pgMar w:top="1587" w:right="1587" w:bottom="1587" w:left="1587" w:header="851" w:footer="992" w:gutter="0"/>
          <w:pgNumType w:fmt="numberInDash"/>
          <w:cols w:space="720" w:num="1"/>
          <w:rtlGutter w:val="0"/>
          <w:docGrid w:type="lines" w:linePitch="312" w:charSpace="0"/>
        </w:sectPr>
      </w:pPr>
    </w:p>
    <w:p w14:paraId="32A9C7D9">
      <w:pPr>
        <w:spacing w:line="480" w:lineRule="exact"/>
        <w:jc w:val="center"/>
        <w:rPr>
          <w:rFonts w:ascii="方正小标宋简体" w:eastAsia="方正小标宋简体"/>
          <w:sz w:val="36"/>
          <w:szCs w:val="36"/>
        </w:rPr>
      </w:pPr>
      <w:r>
        <w:rPr>
          <w:rFonts w:hint="eastAsia" w:ascii="方正小标宋简体" w:eastAsia="方正小标宋简体"/>
          <w:sz w:val="36"/>
          <w:szCs w:val="36"/>
        </w:rPr>
        <w:t>郯城县人民政府公报</w:t>
      </w:r>
    </w:p>
    <w:p w14:paraId="6EE30EF5">
      <w:pPr>
        <w:spacing w:line="400" w:lineRule="exact"/>
        <w:jc w:val="left"/>
        <w:rPr>
          <w:rFonts w:ascii="楷体_GB2312" w:eastAsia="楷体_GB2312"/>
          <w:b/>
          <w:sz w:val="24"/>
          <w:szCs w:val="24"/>
        </w:rPr>
      </w:pPr>
    </w:p>
    <w:p w14:paraId="19354838">
      <w:pPr>
        <w:spacing w:line="400" w:lineRule="exact"/>
        <w:jc w:val="left"/>
        <w:rPr>
          <w:rFonts w:ascii="楷体_GB2312" w:eastAsia="楷体_GB2312"/>
          <w:b/>
          <w:sz w:val="24"/>
          <w:szCs w:val="24"/>
        </w:rPr>
      </w:pPr>
      <w:r>
        <w:rPr>
          <w:rFonts w:hint="eastAsia" w:ascii="楷体_GB2312" w:eastAsia="楷体_GB2312"/>
          <w:b/>
          <w:sz w:val="24"/>
          <w:szCs w:val="24"/>
        </w:rPr>
        <w:t>公报介绍：</w:t>
      </w:r>
    </w:p>
    <w:p w14:paraId="0FF95E37">
      <w:pPr>
        <w:spacing w:line="520" w:lineRule="exact"/>
        <w:jc w:val="left"/>
        <w:rPr>
          <w:rFonts w:ascii="文星仿宋" w:eastAsia="文星仿宋"/>
          <w:sz w:val="24"/>
          <w:szCs w:val="24"/>
        </w:rPr>
      </w:pPr>
      <w:r>
        <w:rPr>
          <w:rFonts w:hint="eastAsia" w:ascii="文星仿宋" w:eastAsia="文星仿宋"/>
          <w:sz w:val="24"/>
          <w:szCs w:val="24"/>
        </w:rPr>
        <w:t>政府信息公开是人民群众行使知情权、监督权、参与权的基础，是促进政府公正、公平、公开行使权力，提高管理服务水平的重要手段，是从源头预防和治理腐败的有效措施。</w:t>
      </w:r>
    </w:p>
    <w:p w14:paraId="06B08848">
      <w:pPr>
        <w:spacing w:line="520" w:lineRule="exact"/>
        <w:jc w:val="left"/>
        <w:rPr>
          <w:rFonts w:ascii="文星仿宋" w:eastAsia="文星仿宋"/>
          <w:sz w:val="24"/>
          <w:szCs w:val="24"/>
        </w:rPr>
      </w:pPr>
      <w:r>
        <w:rPr>
          <w:rFonts w:hint="eastAsia" w:ascii="文星仿宋" w:eastAsia="文星仿宋"/>
          <w:sz w:val="24"/>
          <w:szCs w:val="24"/>
        </w:rPr>
        <w:t>《郯城县人民政府公报》由县政府主管、主办，县政府办公室负责编辑出版，是县政府唯一的政府出版物，主要承载县政府主动公开的政府信息，是县政府发布政令、宣传政策、指导工作的权威载体，是政府信息公开的主渠道，是广大人民群众阅读文件、掌握政策法规、维护合法权益的重要渠道和手段。</w:t>
      </w:r>
    </w:p>
    <w:p w14:paraId="5B1D9DBE">
      <w:pPr>
        <w:spacing w:line="400" w:lineRule="exact"/>
        <w:jc w:val="left"/>
        <w:rPr>
          <w:rFonts w:ascii="楷体_GB2312" w:eastAsia="楷体_GB2312"/>
          <w:b/>
          <w:sz w:val="24"/>
          <w:szCs w:val="24"/>
        </w:rPr>
      </w:pPr>
      <w:r>
        <w:rPr>
          <w:rFonts w:hint="eastAsia" w:ascii="楷体_GB2312" w:eastAsia="楷体_GB2312"/>
          <w:b/>
          <w:sz w:val="24"/>
          <w:szCs w:val="24"/>
        </w:rPr>
        <w:t>背景资料：</w:t>
      </w:r>
    </w:p>
    <w:p w14:paraId="1DCF8FE6">
      <w:pPr>
        <w:spacing w:line="520" w:lineRule="exact"/>
        <w:jc w:val="left"/>
        <w:rPr>
          <w:rFonts w:ascii="文星仿宋" w:eastAsia="文星仿宋"/>
          <w:sz w:val="24"/>
          <w:szCs w:val="24"/>
        </w:rPr>
      </w:pPr>
      <w:r>
        <w:rPr>
          <w:rFonts w:hint="eastAsia" w:ascii="文星仿宋" w:eastAsia="文星仿宋"/>
          <w:sz w:val="24"/>
          <w:szCs w:val="24"/>
        </w:rPr>
        <w:t>政府公报是行政机关编印的专门登载法律、法令、决定、命令、条约、协定或其他官方文件的刊物。</w:t>
      </w:r>
    </w:p>
    <w:p w14:paraId="6EE1F0FD">
      <w:pPr>
        <w:spacing w:line="520" w:lineRule="exact"/>
        <w:jc w:val="left"/>
        <w:rPr>
          <w:rFonts w:ascii="文星仿宋" w:eastAsia="文星仿宋"/>
          <w:sz w:val="24"/>
          <w:szCs w:val="24"/>
        </w:rPr>
      </w:pPr>
      <w:r>
        <w:rPr>
          <w:rFonts w:hint="eastAsia" w:ascii="文星仿宋" w:eastAsia="文星仿宋"/>
          <w:sz w:val="24"/>
          <w:szCs w:val="24"/>
        </w:rPr>
        <w:t>《中国加入世贸组织议定书》第二条：政府应设立或指定一官方刊物，用于公布有关法律、法规及其他措施，并定期出版该刊物，使个人和企业可容易获得该刊物各期。</w:t>
      </w:r>
    </w:p>
    <w:p w14:paraId="1FF64B0B">
      <w:pPr>
        <w:spacing w:line="520" w:lineRule="exact"/>
        <w:jc w:val="left"/>
        <w:rPr>
          <w:rFonts w:ascii="文星仿宋" w:eastAsia="文星仿宋"/>
          <w:sz w:val="24"/>
          <w:szCs w:val="24"/>
        </w:rPr>
      </w:pPr>
      <w:r>
        <w:rPr>
          <w:rFonts w:hint="eastAsia" w:ascii="文星仿宋" w:eastAsia="文星仿宋"/>
          <w:sz w:val="24"/>
          <w:szCs w:val="24"/>
        </w:rPr>
        <w:t>《中华人民共和国立法法》第七十七条：地方政府规章签署公布后，及时在本级人民政府公报和在本行政区域范围内发行的报纸上刊登。在地方人民政府公报上刊登的规章文本为标准文本。</w:t>
      </w:r>
    </w:p>
    <w:p w14:paraId="02F76B5F">
      <w:pPr>
        <w:spacing w:line="520" w:lineRule="exact"/>
        <w:jc w:val="left"/>
        <w:rPr>
          <w:rFonts w:ascii="文星仿宋" w:eastAsia="文星仿宋"/>
          <w:sz w:val="24"/>
          <w:szCs w:val="24"/>
        </w:rPr>
      </w:pPr>
      <w:r>
        <w:rPr>
          <w:rFonts w:hint="eastAsia" w:ascii="文星仿宋" w:eastAsia="文星仿宋"/>
          <w:sz w:val="24"/>
          <w:szCs w:val="24"/>
        </w:rPr>
        <w:t>《中华人民共和国政府信息公开条例》第十五条：行政机关应当将主动公开的政府信息，通过政府公报、政府网站、新闻发布会以及报刊、广播、电视等便于公众知晓的方式公开。</w:t>
      </w:r>
    </w:p>
    <w:p w14:paraId="72E43916">
      <w:pPr>
        <w:spacing w:line="520" w:lineRule="exact"/>
        <w:jc w:val="left"/>
        <w:rPr>
          <w:rFonts w:ascii="文星仿宋" w:eastAsia="文星仿宋"/>
          <w:sz w:val="24"/>
          <w:szCs w:val="24"/>
        </w:rPr>
      </w:pPr>
      <w:r>
        <w:rPr>
          <w:rFonts w:hint="eastAsia" w:ascii="文星仿宋" w:eastAsia="文星仿宋"/>
          <w:sz w:val="24"/>
          <w:szCs w:val="24"/>
        </w:rPr>
        <w:t>《山东省规章和规范性文件备案规定》第四条：规章和规范性文件应当通过政府公报、当地报刊、政府网站等媒体向社会公布。未经公布的，不得实施。</w:t>
      </w:r>
    </w:p>
    <w:p w14:paraId="481689EF">
      <w:pPr>
        <w:spacing w:line="520" w:lineRule="exact"/>
        <w:jc w:val="left"/>
        <w:rPr>
          <w:rFonts w:ascii="文星仿宋" w:eastAsia="文星仿宋"/>
          <w:sz w:val="24"/>
          <w:szCs w:val="24"/>
        </w:rPr>
      </w:pPr>
      <w:r>
        <w:rPr>
          <w:rFonts w:hint="eastAsia" w:ascii="文星仿宋" w:eastAsia="文星仿宋"/>
          <w:sz w:val="24"/>
          <w:szCs w:val="24"/>
        </w:rPr>
        <w:t>《山东省行政程序规定》第五十条：制定规范性文件实行统一登记、统一编制登记号、统一公布制度。未经统一登记、统一编制登记号、统一公布的规范性文件无效，不得作为行政管理的依据。</w:t>
      </w:r>
    </w:p>
    <w:p w14:paraId="315FE7CF">
      <w:pPr>
        <w:spacing w:line="520" w:lineRule="exact"/>
        <w:jc w:val="center"/>
        <w:rPr>
          <w:rFonts w:hint="eastAsia" w:ascii="方正小标宋简体" w:eastAsia="方正小标宋简体"/>
          <w:sz w:val="44"/>
          <w:szCs w:val="44"/>
        </w:rPr>
        <w:sectPr>
          <w:footerReference r:id="rId5" w:type="default"/>
          <w:pgSz w:w="11906" w:h="16838"/>
          <w:pgMar w:top="1587" w:right="1587" w:bottom="1587" w:left="1587" w:header="851" w:footer="992" w:gutter="0"/>
          <w:pgNumType w:fmt="numberInDash" w:start="1"/>
          <w:cols w:space="720" w:num="1"/>
          <w:rtlGutter w:val="0"/>
          <w:docGrid w:type="lines" w:linePitch="312" w:charSpace="0"/>
        </w:sectPr>
      </w:pPr>
    </w:p>
    <w:p w14:paraId="5A0AA309">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目  录</w:t>
      </w:r>
    </w:p>
    <w:p w14:paraId="28CDAAFE">
      <w:pPr>
        <w:spacing w:line="520" w:lineRule="exact"/>
        <w:jc w:val="left"/>
        <w:rPr>
          <w:rFonts w:ascii="文星仿宋" w:eastAsia="文星仿宋"/>
          <w:sz w:val="24"/>
          <w:szCs w:val="24"/>
        </w:rPr>
      </w:pPr>
    </w:p>
    <w:p w14:paraId="1AD9185D">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pacing w:val="-6"/>
          <w:sz w:val="24"/>
          <w:szCs w:val="24"/>
          <w:lang w:val="en-US" w:eastAsia="zh-CN"/>
        </w:rPr>
      </w:pPr>
      <w:r>
        <w:rPr>
          <w:rFonts w:hint="eastAsia" w:ascii="黑体" w:hAnsi="黑体" w:eastAsia="黑体"/>
          <w:sz w:val="24"/>
          <w:szCs w:val="24"/>
        </w:rPr>
        <w:t>【县政府文件】</w:t>
      </w:r>
    </w:p>
    <w:p w14:paraId="1A10C1BA">
      <w:pPr>
        <w:keepNext w:val="0"/>
        <w:keepLines w:val="0"/>
        <w:pageBreakBefore w:val="0"/>
        <w:widowControl w:val="0"/>
        <w:tabs>
          <w:tab w:val="right" w:leader="dot" w:pos="8190"/>
        </w:tabs>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郯城县人民政府关于公布2025年度重大行政决策事项目录的通知（郯政发〔2025〕1号）···································1</w:t>
      </w:r>
    </w:p>
    <w:p w14:paraId="181CB3AE">
      <w:pPr>
        <w:keepNext w:val="0"/>
        <w:keepLines w:val="0"/>
        <w:pageBreakBefore w:val="0"/>
        <w:tabs>
          <w:tab w:val="right" w:leader="dot" w:pos="8190"/>
        </w:tabs>
        <w:kinsoku/>
        <w:wordWrap/>
        <w:overflowPunct/>
        <w:topLinePunct w:val="0"/>
        <w:autoSpaceDE/>
        <w:autoSpaceDN/>
        <w:bidi w:val="0"/>
        <w:adjustRightInd/>
        <w:snapToGrid/>
        <w:spacing w:line="500" w:lineRule="exact"/>
        <w:jc w:val="left"/>
        <w:textAlignment w:val="auto"/>
        <w:rPr>
          <w:rFonts w:hint="default" w:ascii="文星仿宋" w:hAnsi="Times New Roman" w:eastAsia="文星仿宋" w:cs="Times New Roman"/>
          <w:kern w:val="2"/>
          <w:sz w:val="24"/>
          <w:szCs w:val="24"/>
          <w:lang w:val="en-US" w:eastAsia="zh-CN" w:bidi="ar-SA"/>
        </w:rPr>
      </w:pPr>
      <w:r>
        <w:rPr>
          <w:rFonts w:hint="eastAsia" w:ascii="黑体" w:hAnsi="黑体" w:eastAsia="黑体"/>
          <w:sz w:val="24"/>
          <w:szCs w:val="24"/>
        </w:rPr>
        <w:t>【县政府办公室文件】</w:t>
      </w:r>
    </w:p>
    <w:p w14:paraId="2DA8CCDA">
      <w:pPr>
        <w:keepNext w:val="0"/>
        <w:keepLines w:val="0"/>
        <w:pageBreakBefore w:val="0"/>
        <w:widowControl w:val="0"/>
        <w:tabs>
          <w:tab w:val="right" w:leader="dot" w:pos="8190"/>
        </w:tabs>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郯城县人民政府办公室关于印发《郯城县2025年老旧小区改造实施方案》的通知（郯政办字〔2025〕5号）··························5</w:t>
      </w:r>
    </w:p>
    <w:p w14:paraId="4F7108EE">
      <w:pPr>
        <w:keepNext w:val="0"/>
        <w:keepLines w:val="0"/>
        <w:pageBreakBefore w:val="0"/>
        <w:widowControl w:val="0"/>
        <w:tabs>
          <w:tab w:val="right" w:leader="dot" w:pos="8190"/>
        </w:tabs>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pacing w:val="0"/>
          <w:sz w:val="24"/>
          <w:szCs w:val="24"/>
          <w:lang w:val="en-US" w:eastAsia="zh-CN"/>
        </w:rPr>
      </w:pPr>
      <w:r>
        <w:rPr>
          <w:rFonts w:hint="default" w:ascii="仿宋_GB2312" w:hAnsi="仿宋_GB2312" w:eastAsia="仿宋_GB2312" w:cs="仿宋_GB2312"/>
          <w:spacing w:val="0"/>
          <w:sz w:val="24"/>
          <w:szCs w:val="24"/>
          <w:lang w:val="en-US" w:eastAsia="zh-CN"/>
        </w:rPr>
        <w:t>郯城县人民政府办公室关于印发《郯城县202</w:t>
      </w:r>
      <w:r>
        <w:rPr>
          <w:rFonts w:hint="eastAsia" w:ascii="仿宋_GB2312" w:hAnsi="仿宋_GB2312" w:eastAsia="仿宋_GB2312" w:cs="仿宋_GB2312"/>
          <w:spacing w:val="0"/>
          <w:sz w:val="24"/>
          <w:szCs w:val="24"/>
          <w:lang w:val="en-US" w:eastAsia="zh-CN"/>
        </w:rPr>
        <w:t>5</w:t>
      </w:r>
      <w:r>
        <w:rPr>
          <w:rFonts w:hint="default" w:ascii="仿宋_GB2312" w:hAnsi="仿宋_GB2312" w:eastAsia="仿宋_GB2312" w:cs="仿宋_GB2312"/>
          <w:spacing w:val="0"/>
          <w:sz w:val="24"/>
          <w:szCs w:val="24"/>
          <w:lang w:val="en-US" w:eastAsia="zh-CN"/>
        </w:rPr>
        <w:t>年关爱妇女儿童十件实事</w:t>
      </w:r>
      <w:r>
        <w:rPr>
          <w:rFonts w:hint="eastAsia" w:ascii="仿宋_GB2312" w:hAnsi="仿宋_GB2312" w:eastAsia="仿宋_GB2312" w:cs="仿宋_GB2312"/>
          <w:spacing w:val="0"/>
          <w:sz w:val="24"/>
          <w:szCs w:val="24"/>
          <w:lang w:val="en-US" w:eastAsia="zh-CN"/>
        </w:rPr>
        <w:t>清单</w:t>
      </w:r>
      <w:r>
        <w:rPr>
          <w:rFonts w:hint="default" w:ascii="仿宋_GB2312" w:hAnsi="仿宋_GB2312" w:eastAsia="仿宋_GB2312" w:cs="仿宋_GB2312"/>
          <w:spacing w:val="0"/>
          <w:sz w:val="24"/>
          <w:szCs w:val="24"/>
          <w:lang w:val="en-US" w:eastAsia="zh-CN"/>
        </w:rPr>
        <w:t>》的通知</w:t>
      </w:r>
      <w:r>
        <w:rPr>
          <w:rFonts w:hint="eastAsia" w:ascii="仿宋_GB2312" w:hAnsi="仿宋_GB2312" w:eastAsia="仿宋_GB2312" w:cs="仿宋_GB2312"/>
          <w:spacing w:val="0"/>
          <w:sz w:val="24"/>
          <w:szCs w:val="24"/>
          <w:lang w:val="en-US" w:eastAsia="zh-CN"/>
        </w:rPr>
        <w:t>（郯政办字〔2025〕11号）······················15</w:t>
      </w:r>
    </w:p>
    <w:p w14:paraId="536B38BD">
      <w:pPr>
        <w:keepNext w:val="0"/>
        <w:keepLines w:val="0"/>
        <w:pageBreakBefore w:val="0"/>
        <w:widowControl w:val="0"/>
        <w:tabs>
          <w:tab w:val="right" w:leader="dot" w:pos="8190"/>
        </w:tabs>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pacing w:val="-6"/>
          <w:sz w:val="24"/>
          <w:szCs w:val="24"/>
          <w:lang w:val="en-US" w:eastAsia="zh-CN"/>
        </w:rPr>
      </w:pPr>
      <w:r>
        <w:rPr>
          <w:rFonts w:hint="default" w:ascii="仿宋_GB2312" w:hAnsi="仿宋_GB2312" w:eastAsia="仿宋_GB2312" w:cs="仿宋_GB2312"/>
          <w:spacing w:val="0"/>
          <w:sz w:val="24"/>
          <w:szCs w:val="24"/>
          <w:lang w:val="en-US" w:eastAsia="zh-CN"/>
        </w:rPr>
        <w:t>郯城县人民政府办公室关于印发2025年郯城县政务公开工作要点的通知</w:t>
      </w:r>
      <w:r>
        <w:rPr>
          <w:rFonts w:hint="eastAsia" w:ascii="仿宋_GB2312" w:hAnsi="仿宋_GB2312" w:eastAsia="仿宋_GB2312" w:cs="仿宋_GB2312"/>
          <w:spacing w:val="0"/>
          <w:sz w:val="24"/>
          <w:szCs w:val="24"/>
          <w:lang w:val="en-US" w:eastAsia="zh-CN"/>
        </w:rPr>
        <w:t>（</w:t>
      </w:r>
      <w:r>
        <w:rPr>
          <w:rFonts w:hint="default" w:ascii="仿宋_GB2312" w:hAnsi="仿宋_GB2312" w:eastAsia="仿宋_GB2312" w:cs="仿宋_GB2312"/>
          <w:spacing w:val="0"/>
          <w:sz w:val="24"/>
          <w:szCs w:val="24"/>
          <w:lang w:val="en-US" w:eastAsia="zh-CN"/>
        </w:rPr>
        <w:t>郯政办字〔2025〕15号</w:t>
      </w:r>
      <w:r>
        <w:rPr>
          <w:rFonts w:hint="eastAsia" w:ascii="仿宋_GB2312" w:hAnsi="仿宋_GB2312" w:eastAsia="仿宋_GB2312" w:cs="仿宋_GB2312"/>
          <w:spacing w:val="0"/>
          <w:sz w:val="24"/>
          <w:szCs w:val="24"/>
          <w:lang w:val="en-US" w:eastAsia="zh-CN"/>
        </w:rPr>
        <w:t>）····························19</w:t>
      </w:r>
    </w:p>
    <w:p w14:paraId="15C818EA">
      <w:pPr>
        <w:keepNext w:val="0"/>
        <w:keepLines w:val="0"/>
        <w:pageBreakBefore w:val="0"/>
        <w:widowControl w:val="0"/>
        <w:tabs>
          <w:tab w:val="right" w:leader="dot" w:pos="8190"/>
        </w:tabs>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pacing w:val="-6"/>
          <w:sz w:val="24"/>
          <w:szCs w:val="24"/>
          <w:lang w:val="en-US" w:eastAsia="zh-CN"/>
        </w:rPr>
        <w:sectPr>
          <w:headerReference r:id="rId6" w:type="default"/>
          <w:footerReference r:id="rId7" w:type="default"/>
          <w:footerReference r:id="rId8" w:type="even"/>
          <w:pgSz w:w="11906" w:h="16838"/>
          <w:pgMar w:top="1814" w:right="1587" w:bottom="1701" w:left="1587" w:header="851" w:footer="992" w:gutter="0"/>
          <w:pgNumType w:fmt="numberInDash"/>
          <w:cols w:space="720" w:num="1"/>
          <w:docGrid w:type="lines" w:linePitch="312" w:charSpace="0"/>
        </w:sectPr>
      </w:pPr>
    </w:p>
    <w:p w14:paraId="129820BA">
      <w:pPr>
        <w:spacing w:line="560" w:lineRule="exact"/>
        <w:jc w:val="center"/>
        <w:rPr>
          <w:rFonts w:hint="eastAsia" w:ascii="仿宋_GB2312" w:eastAsia="仿宋_GB2312"/>
          <w:color w:val="000000"/>
          <w:sz w:val="32"/>
          <w:szCs w:val="32"/>
          <w:u w:val="none"/>
          <w:lang w:val="en-US" w:eastAsia="zh-CN"/>
        </w:rPr>
      </w:pPr>
    </w:p>
    <w:p w14:paraId="2A4DE4DF">
      <w:pPr>
        <w:spacing w:line="560" w:lineRule="exact"/>
        <w:jc w:val="center"/>
        <w:rPr>
          <w:rFonts w:hint="eastAsia" w:ascii="仿宋_GB2312" w:eastAsia="仿宋_GB2312"/>
          <w:color w:val="000000"/>
          <w:sz w:val="32"/>
          <w:szCs w:val="32"/>
          <w:u w:val="none"/>
          <w:lang w:val="en-US" w:eastAsia="zh-CN"/>
        </w:rPr>
      </w:pPr>
    </w:p>
    <w:p w14:paraId="1D7914AD">
      <w:pPr>
        <w:spacing w:line="560" w:lineRule="exact"/>
        <w:jc w:val="center"/>
        <w:rPr>
          <w:rFonts w:hint="eastAsia" w:ascii="仿宋_GB2312" w:eastAsia="仿宋_GB2312"/>
          <w:color w:val="000000"/>
          <w:sz w:val="32"/>
          <w:szCs w:val="32"/>
          <w:u w:val="none"/>
          <w:lang w:val="en-US" w:eastAsia="zh-CN"/>
        </w:rPr>
      </w:pPr>
    </w:p>
    <w:p w14:paraId="0399C05E">
      <w:pPr>
        <w:spacing w:line="560" w:lineRule="exact"/>
        <w:jc w:val="center"/>
        <w:rPr>
          <w:rFonts w:hint="eastAsia" w:ascii="仿宋_GB2312" w:eastAsia="仿宋_GB2312"/>
          <w:color w:val="000000"/>
          <w:sz w:val="32"/>
          <w:szCs w:val="32"/>
          <w:u w:val="none"/>
          <w:lang w:val="en-US" w:eastAsia="zh-CN"/>
        </w:rPr>
      </w:pPr>
    </w:p>
    <w:p w14:paraId="0F30D7C0">
      <w:pPr>
        <w:spacing w:line="560" w:lineRule="exact"/>
        <w:jc w:val="center"/>
        <w:rPr>
          <w:rFonts w:hint="eastAsia" w:ascii="仿宋_GB2312" w:eastAsia="仿宋_GB2312"/>
          <w:color w:val="000000"/>
          <w:sz w:val="32"/>
          <w:szCs w:val="32"/>
          <w:u w:val="none"/>
          <w:lang w:val="en-US" w:eastAsia="zh-CN"/>
        </w:rPr>
      </w:pPr>
    </w:p>
    <w:p w14:paraId="4AFB9AFE">
      <w:pPr>
        <w:pStyle w:val="4"/>
        <w:ind w:left="0" w:leftChars="0" w:firstLine="0" w:firstLineChars="0"/>
        <w:jc w:val="center"/>
        <w:rPr>
          <w:rFonts w:hint="eastAsia" w:ascii="仿宋_GB2312" w:eastAsia="仿宋_GB2312"/>
          <w:color w:val="000000"/>
          <w:sz w:val="32"/>
          <w:szCs w:val="32"/>
          <w:u w:val="none"/>
          <w:lang w:val="en-US" w:eastAsia="zh-CN"/>
        </w:rPr>
      </w:pPr>
    </w:p>
    <w:p w14:paraId="3A4D26C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_GB2312" w:eastAsia="仿宋_GB2312"/>
          <w:color w:val="000000"/>
          <w:sz w:val="32"/>
          <w:szCs w:val="32"/>
          <w:u w:val="none"/>
          <w:lang w:val="en-US" w:eastAsia="zh-CN"/>
        </w:rPr>
      </w:pPr>
    </w:p>
    <w:p w14:paraId="21D207EB">
      <w:pPr>
        <w:pStyle w:val="4"/>
        <w:ind w:left="0" w:leftChars="0" w:firstLine="0" w:firstLineChars="0"/>
        <w:jc w:val="center"/>
        <w:rPr>
          <w:rFonts w:hint="eastAsia" w:ascii="仿宋_GB2312" w:eastAsia="仿宋_GB2312"/>
          <w:color w:val="000000"/>
          <w:sz w:val="32"/>
          <w:szCs w:val="32"/>
          <w:u w:val="none"/>
          <w:lang w:val="en-US" w:eastAsia="zh-CN"/>
        </w:rPr>
      </w:pPr>
    </w:p>
    <w:p w14:paraId="33D9F42B">
      <w:pPr>
        <w:pStyle w:val="4"/>
        <w:ind w:left="0" w:leftChars="0" w:firstLine="0" w:firstLineChars="0"/>
        <w:jc w:val="center"/>
        <w:rPr>
          <w:rFonts w:hint="eastAsia" w:ascii="仿宋_GB2312" w:eastAsia="仿宋_GB2312"/>
          <w:color w:val="000000"/>
          <w:sz w:val="32"/>
          <w:szCs w:val="32"/>
          <w:u w:val="none"/>
          <w:lang w:val="en-US" w:eastAsia="zh-CN"/>
        </w:rPr>
      </w:pPr>
    </w:p>
    <w:p w14:paraId="3A601DE3">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仿宋_GB2312" w:eastAsia="仿宋_GB2312"/>
          <w:color w:val="000000"/>
          <w:sz w:val="32"/>
          <w:szCs w:val="32"/>
          <w:u w:val="none"/>
          <w:lang w:val="en-US" w:eastAsia="zh-CN"/>
        </w:rPr>
      </w:pPr>
    </w:p>
    <w:p w14:paraId="0EB3F80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olor w:val="000000"/>
          <w:sz w:val="32"/>
          <w:szCs w:val="32"/>
          <w:u w:val="none"/>
        </w:rPr>
      </w:pPr>
      <w:r>
        <w:rPr>
          <w:rFonts w:hint="eastAsia" w:ascii="仿宋_GB2312" w:hAnsi="仿宋_GB2312" w:eastAsia="仿宋_GB2312" w:cs="仿宋_GB2312"/>
          <w:color w:val="000000"/>
          <w:sz w:val="32"/>
          <w:u w:val="none"/>
          <w:lang w:val="en-US" w:eastAsia="zh-CN"/>
        </w:rPr>
        <w:t>郯政发</w:t>
      </w:r>
      <w:r>
        <w:rPr>
          <w:rFonts w:hint="eastAsia" w:ascii="仿宋_GB2312" w:hAnsi="仿宋_GB2312" w:eastAsia="仿宋_GB2312" w:cs="仿宋_GB2312"/>
          <w:color w:val="000000"/>
          <w:sz w:val="32"/>
          <w:szCs w:val="32"/>
          <w:u w:val="none"/>
        </w:rPr>
        <w:t>〔</w:t>
      </w:r>
      <w:r>
        <w:rPr>
          <w:rFonts w:hint="default" w:ascii="仿宋_GB2312" w:hAnsi="仿宋_GB2312" w:eastAsia="仿宋_GB2312" w:cs="仿宋_GB2312"/>
          <w:color w:val="000000"/>
          <w:sz w:val="32"/>
          <w:szCs w:val="32"/>
          <w:u w:val="none"/>
        </w:rPr>
        <w:t>2025</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号</w:t>
      </w:r>
    </w:p>
    <w:p w14:paraId="354832D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_GB2312" w:eastAsia="仿宋_GB2312"/>
          <w:color w:val="FF0000"/>
          <w:sz w:val="21"/>
          <w:szCs w:val="21"/>
          <w:u w:val="none"/>
          <w:lang w:val="en-US" w:eastAsia="zh-CN"/>
        </w:rPr>
      </w:pPr>
    </w:p>
    <w:p w14:paraId="2418D85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_GB2312" w:eastAsia="仿宋_GB2312"/>
          <w:color w:val="FF0000"/>
          <w:sz w:val="32"/>
          <w:u w:val="none"/>
          <w:lang w:val="en-US" w:eastAsia="zh-CN"/>
        </w:rPr>
      </w:pPr>
    </w:p>
    <w:p w14:paraId="4D2F9D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Times New Roman"/>
          <w:kern w:val="2"/>
          <w:sz w:val="44"/>
          <w:szCs w:val="44"/>
          <w:lang w:val="en-US" w:eastAsia="zh-CN"/>
        </w:rPr>
      </w:pPr>
      <w:r>
        <w:rPr>
          <w:rFonts w:hint="eastAsia" w:ascii="方正小标宋简体" w:eastAsia="方正小标宋简体" w:cs="Times New Roman"/>
          <w:kern w:val="2"/>
          <w:sz w:val="44"/>
          <w:szCs w:val="44"/>
          <w:lang w:val="en-US" w:eastAsia="zh-CN"/>
        </w:rPr>
        <w:t>郯城县人民政府</w:t>
      </w:r>
    </w:p>
    <w:p w14:paraId="360BD8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Times New Roman"/>
          <w:color w:val="auto"/>
          <w:spacing w:val="0"/>
          <w:kern w:val="2"/>
          <w:sz w:val="44"/>
          <w:szCs w:val="44"/>
          <w:lang w:val="en-US"/>
        </w:rPr>
      </w:pPr>
      <w:r>
        <w:rPr>
          <w:rFonts w:hint="eastAsia" w:ascii="方正小标宋简体" w:eastAsia="方正小标宋简体" w:cs="Times New Roman"/>
          <w:color w:val="auto"/>
          <w:spacing w:val="0"/>
          <w:kern w:val="2"/>
          <w:sz w:val="44"/>
          <w:szCs w:val="44"/>
          <w:lang w:val="en-US"/>
        </w:rPr>
        <w:t>关于公布</w:t>
      </w:r>
      <w:r>
        <w:rPr>
          <w:rFonts w:ascii="方正小标宋简体" w:eastAsia="方正小标宋简体" w:cs="Times New Roman"/>
          <w:color w:val="auto"/>
          <w:spacing w:val="0"/>
          <w:kern w:val="2"/>
          <w:sz w:val="44"/>
          <w:szCs w:val="44"/>
          <w:lang w:val="en-US"/>
        </w:rPr>
        <w:t>202</w:t>
      </w:r>
      <w:r>
        <w:rPr>
          <w:rFonts w:hint="eastAsia" w:ascii="方正小标宋简体" w:eastAsia="方正小标宋简体" w:cs="Times New Roman"/>
          <w:color w:val="auto"/>
          <w:spacing w:val="0"/>
          <w:kern w:val="2"/>
          <w:sz w:val="44"/>
          <w:szCs w:val="44"/>
          <w:lang w:val="en-US" w:eastAsia="zh-CN"/>
        </w:rPr>
        <w:t>5年度</w:t>
      </w:r>
      <w:r>
        <w:rPr>
          <w:rFonts w:hint="eastAsia" w:ascii="方正小标宋简体" w:eastAsia="方正小标宋简体" w:cs="Times New Roman"/>
          <w:color w:val="auto"/>
          <w:spacing w:val="0"/>
          <w:kern w:val="2"/>
          <w:sz w:val="44"/>
          <w:szCs w:val="44"/>
          <w:lang w:val="en-US"/>
        </w:rPr>
        <w:t>重大行政决策</w:t>
      </w:r>
    </w:p>
    <w:p w14:paraId="0F22DD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Times New Roman"/>
          <w:color w:val="auto"/>
          <w:spacing w:val="0"/>
          <w:kern w:val="2"/>
          <w:sz w:val="44"/>
          <w:szCs w:val="44"/>
          <w:lang w:val="en-US"/>
        </w:rPr>
      </w:pPr>
      <w:r>
        <w:rPr>
          <w:rFonts w:hint="eastAsia" w:ascii="方正小标宋简体" w:eastAsia="方正小标宋简体" w:cs="Times New Roman"/>
          <w:color w:val="auto"/>
          <w:spacing w:val="0"/>
          <w:kern w:val="2"/>
          <w:sz w:val="44"/>
          <w:szCs w:val="44"/>
          <w:lang w:val="en-US"/>
        </w:rPr>
        <w:t>事项目录的通知</w:t>
      </w:r>
    </w:p>
    <w:p w14:paraId="212BA38D">
      <w:pPr>
        <w:autoSpaceDE/>
        <w:autoSpaceDN/>
        <w:spacing w:line="560" w:lineRule="exact"/>
        <w:jc w:val="center"/>
        <w:rPr>
          <w:rFonts w:ascii="方正小标宋简体" w:eastAsia="方正小标宋简体" w:cs="Times New Roman"/>
          <w:color w:val="auto"/>
          <w:kern w:val="2"/>
          <w:sz w:val="44"/>
          <w:szCs w:val="44"/>
          <w:lang w:val="en-US"/>
        </w:rPr>
      </w:pPr>
    </w:p>
    <w:p w14:paraId="49AA7034">
      <w:pPr>
        <w:keepNext w:val="0"/>
        <w:keepLines w:val="0"/>
        <w:pageBreakBefore w:val="0"/>
        <w:widowControl/>
        <w:kinsoku/>
        <w:wordWrap/>
        <w:overflowPunct/>
        <w:topLinePunct w:val="0"/>
        <w:autoSpaceDE w:val="0"/>
        <w:autoSpaceDN w:val="0"/>
        <w:bidi w:val="0"/>
        <w:adjustRightInd/>
        <w:snapToGrid/>
        <w:spacing w:line="600" w:lineRule="exact"/>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各乡镇人民政府、郯城街道办事处，县政府各部门，科级以上事业单位，省、市驻郯各单位，郯城经济开发区管委会，新村银杏产业开发区管委会：</w:t>
      </w:r>
    </w:p>
    <w:p w14:paraId="1E1F2D8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为进一步规范重大行政决策程序，促进政府依法、科学、民主决策，</w:t>
      </w:r>
      <w:r>
        <w:rPr>
          <w:rFonts w:hint="eastAsia" w:ascii="仿宋_GB2312" w:hAnsi="仿宋_GB2312" w:eastAsia="仿宋_GB2312" w:cs="仿宋_GB2312"/>
          <w:color w:val="auto"/>
          <w:sz w:val="32"/>
          <w:szCs w:val="32"/>
          <w:lang w:eastAsia="zh-CN"/>
        </w:rPr>
        <w:t>根</w:t>
      </w:r>
      <w:r>
        <w:rPr>
          <w:rFonts w:hint="eastAsia" w:ascii="仿宋_GB2312" w:hAnsi="仿宋_GB2312" w:eastAsia="仿宋_GB2312" w:cs="仿宋_GB2312"/>
          <w:color w:val="auto"/>
          <w:sz w:val="32"/>
          <w:szCs w:val="32"/>
        </w:rPr>
        <w:t>据</w:t>
      </w:r>
      <w:r>
        <w:rPr>
          <w:rFonts w:hint="eastAsia" w:ascii="仿宋_GB2312" w:hAnsi="仿宋_GB2312" w:eastAsia="仿宋_GB2312" w:cs="仿宋_GB2312"/>
          <w:color w:val="auto"/>
          <w:kern w:val="0"/>
          <w:sz w:val="32"/>
          <w:szCs w:val="32"/>
        </w:rPr>
        <w:t>《重大行政决策程序暂行条例》《山东省行政程序规定》</w:t>
      </w:r>
      <w:r>
        <w:rPr>
          <w:rFonts w:hint="eastAsia" w:ascii="仿宋_GB2312" w:hAnsi="仿宋_GB2312" w:eastAsia="仿宋_GB2312" w:cs="仿宋_GB2312"/>
          <w:i w:val="0"/>
          <w:caps w:val="0"/>
          <w:color w:val="auto"/>
          <w:spacing w:val="0"/>
          <w:sz w:val="32"/>
          <w:szCs w:val="32"/>
          <w:shd w:val="clear" w:color="auto" w:fill="FFFFFF"/>
          <w:lang w:eastAsia="zh-CN"/>
        </w:rPr>
        <w:t>《临沂市</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i w:val="0"/>
          <w:caps w:val="0"/>
          <w:color w:val="auto"/>
          <w:spacing w:val="0"/>
          <w:sz w:val="32"/>
          <w:szCs w:val="32"/>
          <w:shd w:val="clear" w:color="auto" w:fill="FFFFFF"/>
          <w:lang w:eastAsia="zh-CN"/>
        </w:rPr>
        <w:t>重大行政决策程序规定》</w:t>
      </w:r>
      <w:r>
        <w:rPr>
          <w:rFonts w:hint="eastAsia" w:ascii="仿宋_GB2312" w:hAnsi="仿宋_GB2312" w:eastAsia="仿宋_GB2312" w:cs="仿宋_GB2312"/>
          <w:color w:val="auto"/>
          <w:sz w:val="32"/>
          <w:szCs w:val="32"/>
        </w:rPr>
        <w:t>《郯城县</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重大行政决策程序规定》等法规规章</w:t>
      </w:r>
      <w:r>
        <w:rPr>
          <w:rFonts w:hint="eastAsia" w:ascii="仿宋_GB2312" w:hAnsi="仿宋_GB2312" w:eastAsia="仿宋_GB2312" w:cs="仿宋_GB2312"/>
          <w:color w:val="auto"/>
          <w:sz w:val="32"/>
          <w:szCs w:val="32"/>
          <w:lang w:eastAsia="zh-CN"/>
        </w:rPr>
        <w:t>和行政规范性文件</w:t>
      </w:r>
      <w:r>
        <w:rPr>
          <w:rFonts w:hint="eastAsia" w:ascii="仿宋_GB2312" w:hAnsi="仿宋_GB2312" w:eastAsia="仿宋_GB2312" w:cs="仿宋_GB2312"/>
          <w:color w:val="auto"/>
          <w:sz w:val="32"/>
          <w:szCs w:val="32"/>
        </w:rPr>
        <w:t>，编制了《</w:t>
      </w:r>
      <w:r>
        <w:rPr>
          <w:rFonts w:hint="eastAsia" w:ascii="仿宋_GB2312" w:hAnsi="仿宋_GB2312" w:eastAsia="仿宋_GB2312" w:cs="仿宋_GB2312"/>
          <w:color w:val="auto"/>
          <w:sz w:val="32"/>
          <w:szCs w:val="32"/>
          <w:lang w:eastAsia="zh-CN"/>
        </w:rPr>
        <w:t>郯城县</w:t>
      </w:r>
      <w:r>
        <w:rPr>
          <w:rFonts w:hint="eastAsia" w:ascii="仿宋_GB2312" w:hAnsi="仿宋_GB2312" w:eastAsia="仿宋_GB2312" w:cs="仿宋_GB2312"/>
          <w:color w:val="auto"/>
          <w:sz w:val="32"/>
          <w:szCs w:val="32"/>
        </w:rPr>
        <w:t>人民政府202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年度重大行政决策事项目录》，经</w:t>
      </w:r>
      <w:r>
        <w:rPr>
          <w:rFonts w:hint="eastAsia" w:ascii="仿宋_GB2312" w:hAnsi="仿宋_GB2312" w:eastAsia="仿宋_GB2312" w:cs="仿宋_GB2312"/>
          <w:color w:val="auto"/>
          <w:sz w:val="32"/>
          <w:szCs w:val="32"/>
          <w:lang w:eastAsia="zh-CN"/>
        </w:rPr>
        <w:t>县政府研究并经县委同意决定，现予以公布。</w:t>
      </w:r>
    </w:p>
    <w:p w14:paraId="2AC38DE0">
      <w:pPr>
        <w:pStyle w:val="1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一、列入目录的重大行政决策事项应当履行公众参与、专家论证、风险评估、合法性审查和集体讨论决定等法定程序。决策草案未经合法性审查或者经审查不合法的，不得提交</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政府常务会议审议。</w:t>
      </w:r>
    </w:p>
    <w:p w14:paraId="545F56D0">
      <w:pPr>
        <w:pStyle w:val="1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二、各决策事项承办单位要压实责任，把握时间节点，认真做好决策草案拟定等工作，确保按时完成。承办部门要建立重大行政决策档案管理制度，对决策过程和决策实施中的文件资料及时整理归档，实行决策程序全过程记录，保留影像资料。</w:t>
      </w:r>
    </w:p>
    <w:p w14:paraId="4B86C583">
      <w:pPr>
        <w:pStyle w:val="1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三、目录实行动态管理。根据</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委、</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政府年度重点工作任务的实际情况，确需对目录进行调整的，决策事项承办单位要认真研究论证，提出调整建议，按程序报经批准后公布。</w:t>
      </w:r>
    </w:p>
    <w:p w14:paraId="61E88597">
      <w:pPr>
        <w:keepNext w:val="0"/>
        <w:keepLines w:val="0"/>
        <w:pageBreakBefore w:val="0"/>
        <w:kinsoku/>
        <w:wordWrap/>
        <w:overflowPunct/>
        <w:topLinePunct w:val="0"/>
        <w:autoSpaceDE w:val="0"/>
        <w:autoSpaceDN w:val="0"/>
        <w:bidi w:val="0"/>
        <w:adjustRightInd/>
        <w:snapToGrid/>
        <w:spacing w:line="600" w:lineRule="exact"/>
        <w:jc w:val="both"/>
        <w:textAlignment w:val="auto"/>
        <w:rPr>
          <w:rFonts w:hint="eastAsia" w:ascii="仿宋_GB2312" w:hAnsi="仿宋_GB2312" w:eastAsia="仿宋_GB2312" w:cs="仿宋_GB2312"/>
          <w:color w:val="auto"/>
          <w:sz w:val="32"/>
          <w:szCs w:val="32"/>
          <w:lang w:eastAsia="zh-CN"/>
        </w:rPr>
      </w:pPr>
    </w:p>
    <w:p w14:paraId="4B5BDAE9">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附件：郯城县人民政府</w:t>
      </w:r>
      <w:r>
        <w:rPr>
          <w:rFonts w:hint="eastAsia" w:ascii="仿宋_GB2312" w:hAnsi="仿宋_GB2312" w:eastAsia="仿宋_GB2312" w:cs="仿宋_GB2312"/>
          <w:color w:val="auto"/>
          <w:sz w:val="32"/>
          <w:szCs w:val="32"/>
          <w:lang w:val="en-US" w:eastAsia="zh-CN"/>
        </w:rPr>
        <w:t>2025年度重大行政决策事项目录</w:t>
      </w:r>
    </w:p>
    <w:p w14:paraId="59D16731">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1E9C929">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5B09A7B9">
      <w:pPr>
        <w:keepNext w:val="0"/>
        <w:keepLines w:val="0"/>
        <w:pageBreakBefore w:val="0"/>
        <w:kinsoku/>
        <w:wordWrap/>
        <w:overflowPunct/>
        <w:topLinePunct w:val="0"/>
        <w:autoSpaceDE w:val="0"/>
        <w:autoSpaceDN w:val="0"/>
        <w:bidi w:val="0"/>
        <w:adjustRightInd/>
        <w:snapToGrid/>
        <w:spacing w:line="600"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郯城县人民政府</w:t>
      </w:r>
    </w:p>
    <w:p w14:paraId="45849FC8">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2025年5月23日</w:t>
      </w:r>
    </w:p>
    <w:p w14:paraId="39A661F4">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_GB2312" w:hAnsi="仿宋_GB2312" w:eastAsia="仿宋_GB2312" w:cs="仿宋_GB2312"/>
          <w:color w:val="000000"/>
          <w:kern w:val="0"/>
          <w:sz w:val="32"/>
          <w:lang w:eastAsia="zh-CN"/>
        </w:rPr>
      </w:pPr>
      <w:bookmarkStart w:id="0" w:name="_GoBack"/>
      <w:bookmarkEnd w:id="0"/>
      <w:r>
        <w:rPr>
          <w:rFonts w:hint="eastAsia" w:ascii="仿宋_GB2312" w:hAnsi="仿宋_GB2312" w:eastAsia="仿宋_GB2312" w:cs="仿宋_GB2312"/>
          <w:color w:val="000000"/>
          <w:kern w:val="0"/>
          <w:sz w:val="32"/>
          <w:lang w:eastAsia="zh-CN"/>
        </w:rPr>
        <w:t>（此件公开</w:t>
      </w:r>
      <w:r>
        <w:rPr>
          <w:rFonts w:hint="eastAsia" w:ascii="仿宋_GB2312" w:hAnsi="仿宋_GB2312" w:eastAsia="仿宋_GB2312" w:cs="仿宋_GB2312"/>
          <w:color w:val="000000"/>
          <w:kern w:val="0"/>
          <w:sz w:val="32"/>
          <w:lang w:val="en-US" w:eastAsia="zh-CN"/>
        </w:rPr>
        <w:t>发布</w:t>
      </w:r>
      <w:r>
        <w:rPr>
          <w:rFonts w:hint="eastAsia" w:ascii="仿宋_GB2312" w:hAnsi="仿宋_GB2312" w:eastAsia="仿宋_GB2312" w:cs="仿宋_GB2312"/>
          <w:color w:val="000000"/>
          <w:kern w:val="0"/>
          <w:sz w:val="32"/>
          <w:lang w:eastAsia="zh-CN"/>
        </w:rPr>
        <w:t>）</w:t>
      </w:r>
    </w:p>
    <w:p w14:paraId="44CBCC4E">
      <w:pPr>
        <w:keepNext w:val="0"/>
        <w:keepLines w:val="0"/>
        <w:pageBreakBefore w:val="0"/>
        <w:kinsoku/>
        <w:wordWrap/>
        <w:overflowPunct/>
        <w:topLinePunct w:val="0"/>
        <w:autoSpaceDE w:val="0"/>
        <w:autoSpaceDN w:val="0"/>
        <w:bidi w:val="0"/>
        <w:adjustRightInd/>
        <w:snapToGrid/>
        <w:spacing w:line="600" w:lineRule="exact"/>
        <w:textAlignment w:val="auto"/>
        <w:rPr>
          <w:rFonts w:hint="default" w:ascii="Times New Roman" w:hAnsi="Times New Roman" w:eastAsia="黑体" w:cs="Times New Roman"/>
          <w:bCs/>
          <w:sz w:val="32"/>
          <w:szCs w:val="32"/>
        </w:rPr>
      </w:pPr>
    </w:p>
    <w:p w14:paraId="6F26E21D">
      <w:pPr>
        <w:autoSpaceDE w:val="0"/>
        <w:autoSpaceDN w:val="0"/>
        <w:spacing w:line="560" w:lineRule="exac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w:t>
      </w:r>
    </w:p>
    <w:p w14:paraId="0CB0301D">
      <w:pPr>
        <w:autoSpaceDE w:val="0"/>
        <w:autoSpaceDN w:val="0"/>
        <w:spacing w:line="560" w:lineRule="exact"/>
        <w:jc w:val="both"/>
        <w:rPr>
          <w:rFonts w:hint="default" w:ascii="Times New Roman" w:hAnsi="Times New Roman" w:eastAsia="黑体" w:cs="Times New Roman"/>
          <w:bCs/>
          <w:kern w:val="2"/>
          <w:sz w:val="32"/>
          <w:szCs w:val="32"/>
          <w:lang w:val="en-US"/>
        </w:rPr>
      </w:pPr>
    </w:p>
    <w:p w14:paraId="62CF96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郯城县人民政府</w:t>
      </w:r>
    </w:p>
    <w:p w14:paraId="2A4FD4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rPr>
      </w:pPr>
      <w:r>
        <w:rPr>
          <w:rFonts w:hint="eastAsia" w:ascii="方正小标宋简体" w:hAnsi="方正小标宋简体" w:eastAsia="方正小标宋简体" w:cs="方正小标宋简体"/>
          <w:kern w:val="2"/>
          <w:sz w:val="44"/>
          <w:szCs w:val="44"/>
          <w:lang w:val="en-US"/>
        </w:rPr>
        <w:t>202</w:t>
      </w:r>
      <w:r>
        <w:rPr>
          <w:rFonts w:hint="eastAsia" w:ascii="方正小标宋简体" w:hAnsi="方正小标宋简体" w:eastAsia="方正小标宋简体" w:cs="方正小标宋简体"/>
          <w:kern w:val="2"/>
          <w:sz w:val="44"/>
          <w:szCs w:val="44"/>
          <w:lang w:val="en-US" w:eastAsia="zh-CN"/>
        </w:rPr>
        <w:t>5</w:t>
      </w:r>
      <w:r>
        <w:rPr>
          <w:rFonts w:hint="eastAsia" w:ascii="方正小标宋简体" w:hAnsi="方正小标宋简体" w:eastAsia="方正小标宋简体" w:cs="方正小标宋简体"/>
          <w:kern w:val="2"/>
          <w:sz w:val="44"/>
          <w:szCs w:val="44"/>
          <w:lang w:val="en-US"/>
        </w:rPr>
        <w:t>年度重大行政决策事项目录</w:t>
      </w:r>
    </w:p>
    <w:tbl>
      <w:tblPr>
        <w:tblStyle w:val="21"/>
        <w:tblpPr w:leftFromText="180" w:rightFromText="180" w:vertAnchor="text" w:horzAnchor="page" w:tblpXSpec="center" w:tblpY="238"/>
        <w:tblOverlap w:val="never"/>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483"/>
        <w:gridCol w:w="2479"/>
      </w:tblGrid>
      <w:tr w14:paraId="1A8C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exact"/>
          <w:jc w:val="center"/>
        </w:trPr>
        <w:tc>
          <w:tcPr>
            <w:tcW w:w="1134" w:type="dxa"/>
            <w:noWrap w:val="0"/>
            <w:vAlign w:val="center"/>
          </w:tcPr>
          <w:p w14:paraId="599A40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2"/>
                <w:sz w:val="32"/>
                <w:szCs w:val="32"/>
                <w:lang w:val="en-US"/>
              </w:rPr>
            </w:pPr>
            <w:r>
              <w:rPr>
                <w:rFonts w:hint="default" w:ascii="Times New Roman" w:hAnsi="Times New Roman" w:eastAsia="黑体" w:cs="Times New Roman"/>
                <w:color w:val="auto"/>
                <w:kern w:val="2"/>
                <w:sz w:val="32"/>
                <w:szCs w:val="32"/>
                <w:lang w:val="en-US"/>
              </w:rPr>
              <w:t>序号</w:t>
            </w:r>
          </w:p>
        </w:tc>
        <w:tc>
          <w:tcPr>
            <w:tcW w:w="5483" w:type="dxa"/>
            <w:noWrap w:val="0"/>
            <w:vAlign w:val="center"/>
          </w:tcPr>
          <w:p w14:paraId="31F229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2"/>
                <w:sz w:val="32"/>
                <w:szCs w:val="32"/>
                <w:lang w:val="en-US"/>
              </w:rPr>
            </w:pPr>
            <w:r>
              <w:rPr>
                <w:rFonts w:hint="default" w:ascii="Times New Roman" w:hAnsi="Times New Roman" w:eastAsia="黑体" w:cs="Times New Roman"/>
                <w:color w:val="auto"/>
                <w:kern w:val="2"/>
                <w:sz w:val="32"/>
                <w:szCs w:val="32"/>
                <w:lang w:val="en-US"/>
              </w:rPr>
              <w:t>决策事项名称</w:t>
            </w:r>
          </w:p>
        </w:tc>
        <w:tc>
          <w:tcPr>
            <w:tcW w:w="2479" w:type="dxa"/>
            <w:noWrap w:val="0"/>
            <w:vAlign w:val="center"/>
          </w:tcPr>
          <w:p w14:paraId="7C94C1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2"/>
                <w:sz w:val="32"/>
                <w:szCs w:val="32"/>
                <w:lang w:val="en-US"/>
              </w:rPr>
            </w:pPr>
            <w:r>
              <w:rPr>
                <w:rFonts w:hint="default" w:ascii="Times New Roman" w:hAnsi="Times New Roman" w:eastAsia="黑体" w:cs="Times New Roman"/>
                <w:color w:val="auto"/>
                <w:kern w:val="2"/>
                <w:sz w:val="32"/>
                <w:szCs w:val="32"/>
                <w:lang w:val="en-US"/>
              </w:rPr>
              <w:t>承办单位</w:t>
            </w:r>
          </w:p>
        </w:tc>
      </w:tr>
      <w:tr w14:paraId="34C4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exact"/>
          <w:jc w:val="center"/>
        </w:trPr>
        <w:tc>
          <w:tcPr>
            <w:tcW w:w="1134" w:type="dxa"/>
            <w:noWrap w:val="0"/>
            <w:vAlign w:val="center"/>
          </w:tcPr>
          <w:p w14:paraId="0FF21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w:t>
            </w:r>
          </w:p>
        </w:tc>
        <w:tc>
          <w:tcPr>
            <w:tcW w:w="5483" w:type="dxa"/>
            <w:noWrap w:val="0"/>
            <w:vAlign w:val="center"/>
          </w:tcPr>
          <w:p w14:paraId="5B710A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郯城县推进小城镇提升三年行动</w:t>
            </w:r>
          </w:p>
          <w:p w14:paraId="745CD5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实施意见</w:t>
            </w:r>
          </w:p>
        </w:tc>
        <w:tc>
          <w:tcPr>
            <w:tcW w:w="2479" w:type="dxa"/>
            <w:noWrap w:val="0"/>
            <w:vAlign w:val="center"/>
          </w:tcPr>
          <w:p w14:paraId="0208E0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县住房和城乡</w:t>
            </w:r>
          </w:p>
          <w:p w14:paraId="046E26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建设局</w:t>
            </w:r>
          </w:p>
        </w:tc>
      </w:tr>
      <w:tr w14:paraId="6195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exact"/>
          <w:jc w:val="center"/>
        </w:trPr>
        <w:tc>
          <w:tcPr>
            <w:tcW w:w="1134" w:type="dxa"/>
            <w:noWrap w:val="0"/>
            <w:vAlign w:val="center"/>
          </w:tcPr>
          <w:p w14:paraId="43D872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w:t>
            </w:r>
          </w:p>
        </w:tc>
        <w:tc>
          <w:tcPr>
            <w:tcW w:w="5483" w:type="dxa"/>
            <w:noWrap w:val="0"/>
            <w:vAlign w:val="center"/>
          </w:tcPr>
          <w:p w14:paraId="6D29A4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进一步优化乡村中小学幼儿园布局</w:t>
            </w:r>
          </w:p>
          <w:p w14:paraId="553691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rPr>
              <w:t>共建行动方案</w:t>
            </w:r>
          </w:p>
        </w:tc>
        <w:tc>
          <w:tcPr>
            <w:tcW w:w="2479" w:type="dxa"/>
            <w:noWrap w:val="0"/>
            <w:vAlign w:val="center"/>
          </w:tcPr>
          <w:p w14:paraId="1275DC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2"/>
                <w:szCs w:val="32"/>
                <w:lang w:val="zh-CN" w:eastAsia="zh-CN" w:bidi="ar-SA"/>
              </w:rPr>
            </w:pPr>
            <w:r>
              <w:rPr>
                <w:rFonts w:hint="eastAsia" w:ascii="仿宋_GB2312" w:hAnsi="仿宋_GB2312" w:eastAsia="仿宋_GB2312" w:cs="仿宋_GB2312"/>
                <w:color w:val="auto"/>
                <w:kern w:val="2"/>
                <w:sz w:val="32"/>
                <w:szCs w:val="32"/>
                <w:lang w:val="en-US" w:eastAsia="zh-CN"/>
              </w:rPr>
              <w:t>县教育和体育局</w:t>
            </w:r>
          </w:p>
        </w:tc>
      </w:tr>
    </w:tbl>
    <w:p w14:paraId="73E2EAAD">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46170AE7">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9C75939">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2463980">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7CBAFAA7">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3AE86534">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1D2E39B2">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13A7ABE5">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1F40F8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4779FD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716331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27FBF6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0C77EF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46F814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1EFCD7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3EEEE0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4894DA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4DBB34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716B4A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7A713E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0E07FF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122FB3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22C6E0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30EAC516">
      <w:pPr>
        <w:keepNext w:val="0"/>
        <w:keepLines w:val="0"/>
        <w:pageBreakBefore w:val="0"/>
        <w:kinsoku/>
        <w:wordWrap/>
        <w:overflowPunct w:val="0"/>
        <w:topLinePunct w:val="0"/>
        <w:autoSpaceDE/>
        <w:autoSpaceDN/>
        <w:bidi w:val="0"/>
        <w:adjustRightInd/>
        <w:snapToGrid/>
        <w:spacing w:line="600" w:lineRule="exact"/>
        <w:jc w:val="both"/>
        <w:textAlignment w:val="auto"/>
        <w:rPr>
          <w:rFonts w:hint="default"/>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407035</wp:posOffset>
                </wp:positionV>
                <wp:extent cx="561594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8pt;margin-top:32.05pt;height:0pt;width:442.2pt;z-index:251661312;mso-width-relative:page;mso-height-relative:page;" filled="f" stroked="t" coordsize="21600,21600" o:gfxdata="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lUZ41gAAAAgBAAAPAAAAAAAAAAEAIAAAACIAAABkcnMvZG93bnJldi54bWxQSwEC&#10;FAAUAAAACACHTuJASQ1rTPYBAADhAwAADgAAAAAAAAABACAAAAAlAQAAZHJzL2Uyb0RvYy54bWxQ&#10;SwUGAAAAAAYABgBZAQAAjQU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36195</wp:posOffset>
                </wp:positionV>
                <wp:extent cx="5615940" cy="0"/>
                <wp:effectExtent l="0" t="4445" r="0" b="5080"/>
                <wp:wrapNone/>
                <wp:docPr id="8" name="直接连接符 8"/>
                <wp:cNvGraphicFramePr/>
                <a:graphic xmlns:a="http://schemas.openxmlformats.org/drawingml/2006/main">
                  <a:graphicData uri="http://schemas.microsoft.com/office/word/2010/wordprocessingShape">
                    <wps:wsp>
                      <wps:cNvCnPr/>
                      <wps:spPr>
                        <a:xfrm>
                          <a:off x="1061085" y="9033510"/>
                          <a:ext cx="561594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8pt;margin-top:2.85pt;height:0pt;width:442.2pt;z-index:251660288;mso-width-relative:page;mso-height-relative:page;" filled="f" stroked="t" coordsize="21600,21600" o:gfxdata="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JhSStQAAAAGAQAADwAAAAAAAAABACAAAAAiAAAAZHJzL2Rvd25y&#10;ZXYueG1sUEsBAhQAFAAAAAgAh07iQBRdvfoCAgAA7QMAAA4AAAAAAAAAAQAgAAAAIwEAAGRycy9l&#10;Mm9Eb2MueG1sUEsFBgAAAAAGAAYAWQEAAJc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郯城县人民政府办公室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日印发</w:t>
      </w:r>
    </w:p>
    <w:p w14:paraId="78B5021F">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caps w:val="0"/>
          <w:sz w:val="32"/>
          <w:szCs w:val="32"/>
        </w:rPr>
      </w:pPr>
    </w:p>
    <w:p w14:paraId="3E13D958">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caps w:val="0"/>
          <w:sz w:val="32"/>
          <w:szCs w:val="32"/>
        </w:rPr>
      </w:pPr>
    </w:p>
    <w:p w14:paraId="06C09476">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caps w:val="0"/>
          <w:sz w:val="32"/>
          <w:szCs w:val="32"/>
        </w:rPr>
      </w:pPr>
    </w:p>
    <w:p w14:paraId="3C22E29D">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caps w:val="0"/>
          <w:sz w:val="32"/>
          <w:szCs w:val="32"/>
        </w:rPr>
      </w:pPr>
    </w:p>
    <w:p w14:paraId="345043B5">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caps w:val="0"/>
          <w:sz w:val="32"/>
          <w:szCs w:val="32"/>
        </w:rPr>
      </w:pPr>
    </w:p>
    <w:p w14:paraId="500EE537">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caps w:val="0"/>
          <w:sz w:val="32"/>
          <w:szCs w:val="32"/>
        </w:rPr>
      </w:pPr>
    </w:p>
    <w:p w14:paraId="2A2498FE">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caps w:val="0"/>
          <w:sz w:val="32"/>
          <w:szCs w:val="32"/>
        </w:rPr>
      </w:pPr>
    </w:p>
    <w:p w14:paraId="4881242B">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caps w:val="0"/>
          <w:sz w:val="32"/>
          <w:szCs w:val="32"/>
        </w:rPr>
      </w:pPr>
    </w:p>
    <w:p w14:paraId="1B36A883">
      <w:pPr>
        <w:pStyle w:val="8"/>
        <w:keepNext w:val="0"/>
        <w:keepLines w:val="0"/>
        <w:pageBreakBefore w:val="0"/>
        <w:kinsoku/>
        <w:wordWrap/>
        <w:topLinePunct w:val="0"/>
        <w:bidi w:val="0"/>
        <w:spacing w:before="41" w:line="600" w:lineRule="exact"/>
        <w:ind w:left="293" w:right="363"/>
        <w:jc w:val="center"/>
        <w:rPr>
          <w:rFonts w:hint="eastAsia" w:ascii="仿宋_GB2312" w:hAnsi="仿宋_GB2312" w:eastAsia="仿宋_GB2312" w:cs="仿宋_GB2312"/>
          <w:caps w:val="0"/>
          <w:sz w:val="32"/>
          <w:szCs w:val="32"/>
        </w:rPr>
      </w:pPr>
      <w:r>
        <w:rPr>
          <w:rFonts w:hint="eastAsia" w:ascii="仿宋_GB2312" w:hAnsi="仿宋_GB2312" w:eastAsia="仿宋_GB2312" w:cs="仿宋_GB2312"/>
          <w:caps w:val="0"/>
          <w:sz w:val="32"/>
          <w:szCs w:val="32"/>
        </w:rPr>
        <w:t>郯政办字〔202</w:t>
      </w:r>
      <w:r>
        <w:rPr>
          <w:rFonts w:hint="eastAsia" w:ascii="仿宋_GB2312" w:hAnsi="仿宋_GB2312" w:eastAsia="仿宋_GB2312" w:cs="仿宋_GB2312"/>
          <w:caps w:val="0"/>
          <w:sz w:val="32"/>
          <w:szCs w:val="32"/>
          <w:lang w:val="en-US" w:eastAsia="zh-CN"/>
        </w:rPr>
        <w:t>5</w:t>
      </w:r>
      <w:r>
        <w:rPr>
          <w:rFonts w:hint="eastAsia" w:ascii="仿宋_GB2312" w:hAnsi="仿宋_GB2312" w:eastAsia="仿宋_GB2312" w:cs="仿宋_GB2312"/>
          <w:caps w:val="0"/>
          <w:sz w:val="32"/>
          <w:szCs w:val="32"/>
        </w:rPr>
        <w:t>〕</w:t>
      </w:r>
      <w:r>
        <w:rPr>
          <w:rFonts w:hint="eastAsia" w:ascii="仿宋_GB2312" w:hAnsi="仿宋_GB2312" w:eastAsia="仿宋_GB2312" w:cs="仿宋_GB2312"/>
          <w:caps w:val="0"/>
          <w:sz w:val="32"/>
          <w:szCs w:val="32"/>
          <w:lang w:val="en-US" w:eastAsia="zh-CN"/>
        </w:rPr>
        <w:t>5</w:t>
      </w:r>
      <w:r>
        <w:rPr>
          <w:rFonts w:hint="eastAsia" w:ascii="仿宋_GB2312" w:hAnsi="仿宋_GB2312" w:eastAsia="仿宋_GB2312" w:cs="仿宋_GB2312"/>
          <w:caps w:val="0"/>
          <w:sz w:val="32"/>
          <w:szCs w:val="32"/>
        </w:rPr>
        <w:t>号</w:t>
      </w:r>
    </w:p>
    <w:p w14:paraId="699C95A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caps w:val="0"/>
          <w:sz w:val="32"/>
          <w:szCs w:val="32"/>
        </w:rPr>
      </w:pPr>
    </w:p>
    <w:p w14:paraId="204B29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aps w:val="0"/>
          <w:color w:val="auto"/>
          <w:kern w:val="2"/>
          <w:sz w:val="44"/>
          <w:szCs w:val="44"/>
          <w:lang w:eastAsia="zh-CN"/>
        </w:rPr>
      </w:pPr>
      <w:r>
        <w:rPr>
          <w:rFonts w:hint="eastAsia" w:ascii="方正小标宋简体" w:hAnsi="方正小标宋简体" w:eastAsia="方正小标宋简体" w:cs="方正小标宋简体"/>
          <w:caps w:val="0"/>
          <w:color w:val="auto"/>
          <w:kern w:val="2"/>
          <w:sz w:val="44"/>
          <w:szCs w:val="44"/>
          <w:lang w:eastAsia="zh-CN"/>
        </w:rPr>
        <w:t>郯城县人民政府办公室</w:t>
      </w:r>
    </w:p>
    <w:p w14:paraId="078949A0">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caps w:val="0"/>
          <w:color w:val="auto"/>
          <w:kern w:val="2"/>
          <w:sz w:val="44"/>
          <w:szCs w:val="44"/>
          <w:lang w:eastAsia="zh-CN"/>
        </w:rPr>
      </w:pPr>
      <w:r>
        <w:rPr>
          <w:rFonts w:hint="eastAsia" w:ascii="方正小标宋简体" w:hAnsi="方正小标宋简体" w:eastAsia="方正小标宋简体" w:cs="方正小标宋简体"/>
          <w:caps w:val="0"/>
          <w:color w:val="auto"/>
          <w:kern w:val="2"/>
          <w:sz w:val="44"/>
          <w:szCs w:val="44"/>
          <w:lang w:eastAsia="zh-CN"/>
        </w:rPr>
        <w:t>关于印发</w:t>
      </w:r>
      <w:r>
        <w:rPr>
          <w:rFonts w:hint="eastAsia" w:ascii="方正小标宋简体" w:hAnsi="方正小标宋简体" w:eastAsia="方正小标宋简体" w:cs="方正小标宋简体"/>
          <w:caps w:val="0"/>
          <w:color w:val="auto"/>
          <w:kern w:val="2"/>
          <w:sz w:val="44"/>
          <w:szCs w:val="44"/>
          <w:lang w:val="en-US" w:eastAsia="zh-CN"/>
        </w:rPr>
        <w:t>《</w:t>
      </w:r>
      <w:r>
        <w:rPr>
          <w:rFonts w:hint="eastAsia" w:ascii="方正小标宋简体" w:hAnsi="方正小标宋简体" w:eastAsia="方正小标宋简体" w:cs="方正小标宋简体"/>
          <w:b w:val="0"/>
          <w:bCs/>
          <w:caps w:val="0"/>
          <w:color w:val="000000"/>
          <w:sz w:val="44"/>
          <w:lang w:val="en-US" w:eastAsia="zh-CN"/>
        </w:rPr>
        <w:t>郯城县202</w:t>
      </w:r>
      <w:r>
        <w:rPr>
          <w:rFonts w:hint="eastAsia" w:ascii="方正小标宋简体" w:hAnsi="方正小标宋简体" w:cs="方正小标宋简体"/>
          <w:b w:val="0"/>
          <w:bCs/>
          <w:caps w:val="0"/>
          <w:color w:val="000000"/>
          <w:sz w:val="44"/>
          <w:lang w:val="en-US" w:eastAsia="zh-CN"/>
        </w:rPr>
        <w:t>5</w:t>
      </w:r>
      <w:r>
        <w:rPr>
          <w:rFonts w:hint="eastAsia" w:ascii="方正小标宋简体" w:hAnsi="方正小标宋简体" w:eastAsia="方正小标宋简体" w:cs="方正小标宋简体"/>
          <w:b w:val="0"/>
          <w:bCs/>
          <w:caps w:val="0"/>
          <w:color w:val="000000"/>
          <w:sz w:val="44"/>
          <w:lang w:val="en-US" w:eastAsia="zh-CN"/>
        </w:rPr>
        <w:t>年老旧小区改造实施方案</w:t>
      </w:r>
      <w:r>
        <w:rPr>
          <w:rFonts w:hint="eastAsia" w:ascii="方正小标宋简体" w:hAnsi="方正小标宋简体" w:eastAsia="方正小标宋简体" w:cs="方正小标宋简体"/>
          <w:bCs/>
          <w:caps w:val="0"/>
          <w:color w:val="auto"/>
          <w:kern w:val="2"/>
          <w:sz w:val="44"/>
          <w:szCs w:val="44"/>
          <w:lang w:eastAsia="zh-CN"/>
        </w:rPr>
        <w:t>》的通</w:t>
      </w:r>
      <w:r>
        <w:rPr>
          <w:rFonts w:hint="eastAsia" w:ascii="方正小标宋简体" w:hAnsi="方正小标宋简体" w:eastAsia="方正小标宋简体" w:cs="方正小标宋简体"/>
          <w:caps w:val="0"/>
          <w:color w:val="auto"/>
          <w:kern w:val="2"/>
          <w:sz w:val="44"/>
          <w:szCs w:val="44"/>
          <w:lang w:eastAsia="zh-CN"/>
        </w:rPr>
        <w:t>知</w:t>
      </w:r>
    </w:p>
    <w:p w14:paraId="26EC6E53">
      <w:pPr>
        <w:keepNext w:val="0"/>
        <w:keepLines w:val="0"/>
        <w:pageBreakBefore w:val="0"/>
        <w:widowControl w:val="0"/>
        <w:tabs>
          <w:tab w:val="left" w:pos="5220"/>
        </w:tabs>
        <w:kinsoku/>
        <w:wordWrap/>
        <w:overflowPunct/>
        <w:topLinePunct w:val="0"/>
        <w:autoSpaceDE/>
        <w:autoSpaceDN/>
        <w:bidi w:val="0"/>
        <w:adjustRightInd/>
        <w:snapToGrid/>
        <w:spacing w:line="600" w:lineRule="exact"/>
        <w:jc w:val="center"/>
        <w:textAlignment w:val="baseline"/>
        <w:rPr>
          <w:b/>
          <w:i/>
          <w:caps w:val="0"/>
        </w:rPr>
      </w:pPr>
    </w:p>
    <w:p w14:paraId="26DAC6DE">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Times New Roman"/>
          <w:caps w:val="0"/>
          <w:color w:val="auto"/>
          <w:sz w:val="32"/>
          <w:szCs w:val="32"/>
          <w:lang w:val="en-US" w:eastAsia="zh-CN"/>
        </w:rPr>
      </w:pPr>
      <w:r>
        <w:rPr>
          <w:rFonts w:hint="default" w:ascii="仿宋_GB2312" w:hAnsi="仿宋_GB2312" w:eastAsia="仿宋_GB2312" w:cs="Times New Roman"/>
          <w:caps w:val="0"/>
          <w:color w:val="auto"/>
          <w:sz w:val="32"/>
          <w:szCs w:val="32"/>
          <w:lang w:val="en-US" w:eastAsia="zh-CN"/>
        </w:rPr>
        <w:t>郯城街道办事处，县直有关部门、单位：</w:t>
      </w:r>
    </w:p>
    <w:p w14:paraId="7EC75B9F">
      <w:pPr>
        <w:pStyle w:val="20"/>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仿宋_GB2312" w:hAnsi="仿宋_GB2312" w:eastAsia="仿宋_GB2312" w:cs="Times New Roman"/>
          <w:bCs w:val="0"/>
          <w:caps w:val="0"/>
          <w:color w:val="auto"/>
          <w:kern w:val="2"/>
          <w:sz w:val="32"/>
          <w:szCs w:val="32"/>
          <w:lang w:val="en-US" w:eastAsia="zh-CN" w:bidi="ar-SA"/>
        </w:rPr>
      </w:pPr>
      <w:r>
        <w:rPr>
          <w:rFonts w:hint="default" w:ascii="仿宋_GB2312" w:hAnsi="仿宋_GB2312" w:eastAsia="仿宋_GB2312" w:cs="Times New Roman"/>
          <w:bCs w:val="0"/>
          <w:caps w:val="0"/>
          <w:color w:val="auto"/>
          <w:kern w:val="2"/>
          <w:sz w:val="32"/>
          <w:szCs w:val="32"/>
          <w:lang w:val="en-US" w:eastAsia="zh-CN" w:bidi="ar-SA"/>
        </w:rPr>
        <w:t>《郯城县2025年老旧小区改造实施方案》已经县政府研究同意，现印发给你们，请认真抓好落实。</w:t>
      </w:r>
    </w:p>
    <w:p w14:paraId="1643341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420"/>
        <w:jc w:val="left"/>
        <w:textAlignment w:val="auto"/>
        <w:rPr>
          <w:rFonts w:hint="default" w:ascii="仿宋_GB2312" w:hAnsi="仿宋_GB2312" w:eastAsia="仿宋_GB2312" w:cs="Times New Roman"/>
          <w:caps w:val="0"/>
          <w:color w:val="auto"/>
          <w:kern w:val="2"/>
          <w:sz w:val="32"/>
          <w:szCs w:val="32"/>
          <w:lang w:val="en-US" w:eastAsia="zh-CN" w:bidi="ar-SA"/>
        </w:rPr>
      </w:pPr>
    </w:p>
    <w:p w14:paraId="7CF1D19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420"/>
        <w:jc w:val="left"/>
        <w:textAlignment w:val="auto"/>
        <w:rPr>
          <w:rFonts w:hint="default" w:ascii="仿宋_GB2312" w:hAnsi="仿宋_GB2312" w:eastAsia="仿宋_GB2312" w:cs="Times New Roman"/>
          <w:caps w:val="0"/>
          <w:color w:val="auto"/>
          <w:kern w:val="2"/>
          <w:sz w:val="32"/>
          <w:szCs w:val="32"/>
          <w:lang w:val="en-US" w:eastAsia="zh-CN" w:bidi="ar-SA"/>
        </w:rPr>
      </w:pPr>
    </w:p>
    <w:p w14:paraId="771EDB1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420"/>
        <w:jc w:val="right"/>
        <w:textAlignment w:val="auto"/>
        <w:rPr>
          <w:rFonts w:hint="default" w:ascii="仿宋_GB2312" w:hAnsi="仿宋_GB2312" w:eastAsia="仿宋_GB2312" w:cs="Times New Roman"/>
          <w:caps w:val="0"/>
          <w:color w:val="auto"/>
          <w:kern w:val="2"/>
          <w:sz w:val="32"/>
          <w:szCs w:val="32"/>
          <w:lang w:val="en-US" w:eastAsia="zh-CN" w:bidi="ar-SA"/>
        </w:rPr>
      </w:pPr>
      <w:r>
        <w:rPr>
          <w:rFonts w:hint="default" w:ascii="仿宋_GB2312" w:hAnsi="仿宋_GB2312" w:eastAsia="仿宋_GB2312" w:cs="Times New Roman"/>
          <w:caps w:val="0"/>
          <w:color w:val="auto"/>
          <w:kern w:val="2"/>
          <w:sz w:val="32"/>
          <w:szCs w:val="32"/>
          <w:lang w:val="en-US" w:eastAsia="zh-CN" w:bidi="ar-SA"/>
        </w:rPr>
        <w:t>郯城县人民政府办公室</w:t>
      </w:r>
    </w:p>
    <w:p w14:paraId="7CF71F6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420"/>
        <w:jc w:val="right"/>
        <w:textAlignment w:val="auto"/>
        <w:rPr>
          <w:rFonts w:hint="default" w:ascii="仿宋_GB2312" w:hAnsi="仿宋_GB2312" w:eastAsia="仿宋_GB2312" w:cs="Times New Roman"/>
          <w:caps w:val="0"/>
          <w:color w:val="auto"/>
          <w:kern w:val="2"/>
          <w:sz w:val="32"/>
          <w:szCs w:val="32"/>
          <w:lang w:val="en-US" w:eastAsia="zh-CN" w:bidi="ar-SA"/>
        </w:rPr>
      </w:pPr>
      <w:r>
        <w:rPr>
          <w:rFonts w:hint="default" w:ascii="仿宋_GB2312" w:hAnsi="仿宋_GB2312" w:eastAsia="仿宋_GB2312" w:cs="Times New Roman"/>
          <w:caps w:val="0"/>
          <w:color w:val="auto"/>
          <w:kern w:val="2"/>
          <w:sz w:val="32"/>
          <w:szCs w:val="32"/>
          <w:lang w:val="en-US" w:eastAsia="zh-CN" w:bidi="ar-SA"/>
        </w:rPr>
        <w:t>2025年4月12日</w:t>
      </w:r>
    </w:p>
    <w:p w14:paraId="419A2E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aps w:val="0"/>
          <w:sz w:val="32"/>
          <w:szCs w:val="32"/>
          <w:lang w:val="en-US" w:eastAsia="zh-CN"/>
        </w:rPr>
      </w:pPr>
      <w:r>
        <w:rPr>
          <w:rFonts w:hint="default" w:ascii="Times New Roman" w:hAnsi="Times New Roman" w:eastAsia="仿宋_GB2312" w:cs="Times New Roman"/>
          <w:caps w:val="0"/>
          <w:sz w:val="32"/>
          <w:szCs w:val="32"/>
          <w:lang w:val="en-US" w:eastAsia="zh-CN"/>
        </w:rPr>
        <w:t>（此件公开</w:t>
      </w:r>
      <w:r>
        <w:rPr>
          <w:rFonts w:hint="default" w:ascii="Times New Roman" w:hAnsi="Times New Roman" w:eastAsia="仿宋_GB2312" w:cs="Times New Roman"/>
          <w:caps w:val="0"/>
          <w:sz w:val="32"/>
          <w:szCs w:val="32"/>
        </w:rPr>
        <w:t>发布</w:t>
      </w:r>
      <w:r>
        <w:rPr>
          <w:rFonts w:hint="default" w:ascii="Times New Roman" w:hAnsi="Times New Roman" w:eastAsia="仿宋_GB2312" w:cs="Times New Roman"/>
          <w:caps w:val="0"/>
          <w:sz w:val="32"/>
          <w:szCs w:val="32"/>
          <w:lang w:val="en-US" w:eastAsia="zh-CN"/>
        </w:rPr>
        <w:t>）</w:t>
      </w:r>
    </w:p>
    <w:p w14:paraId="7685E653">
      <w:pPr>
        <w:pStyle w:val="20"/>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default" w:ascii="方正小标宋简体" w:hAnsi="方正小标宋简体" w:eastAsia="方正小标宋简体" w:cs="Times New Roman"/>
          <w:b w:val="0"/>
          <w:bCs/>
          <w:caps w:val="0"/>
          <w:color w:val="000000"/>
          <w:sz w:val="44"/>
          <w:lang w:val="en-US" w:eastAsia="zh-CN"/>
        </w:rPr>
      </w:pPr>
      <w:r>
        <w:rPr>
          <w:rFonts w:hint="default" w:ascii="方正小标宋简体" w:hAnsi="方正小标宋简体" w:eastAsia="方正小标宋简体" w:cs="Times New Roman"/>
          <w:b w:val="0"/>
          <w:bCs/>
          <w:caps w:val="0"/>
          <w:color w:val="000000"/>
          <w:sz w:val="44"/>
          <w:lang w:val="en-US" w:eastAsia="zh-CN"/>
        </w:rPr>
        <w:t>郯城县202</w:t>
      </w:r>
      <w:r>
        <w:rPr>
          <w:rFonts w:hint="default" w:ascii="方正小标宋简体" w:hAnsi="方正小标宋简体" w:cs="Times New Roman"/>
          <w:b w:val="0"/>
          <w:bCs/>
          <w:caps w:val="0"/>
          <w:color w:val="000000"/>
          <w:sz w:val="44"/>
          <w:lang w:val="en-US" w:eastAsia="zh-CN"/>
        </w:rPr>
        <w:t>5</w:t>
      </w:r>
      <w:r>
        <w:rPr>
          <w:rFonts w:hint="default" w:ascii="方正小标宋简体" w:hAnsi="方正小标宋简体" w:eastAsia="方正小标宋简体" w:cs="Times New Roman"/>
          <w:b w:val="0"/>
          <w:bCs/>
          <w:caps w:val="0"/>
          <w:color w:val="000000"/>
          <w:sz w:val="44"/>
          <w:lang w:val="en-US" w:eastAsia="zh-CN"/>
        </w:rPr>
        <w:t>年老旧小区改造实施方案</w:t>
      </w:r>
    </w:p>
    <w:p w14:paraId="1C513F5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20" w:firstLineChars="200"/>
        <w:jc w:val="both"/>
        <w:textAlignment w:val="auto"/>
        <w:outlineLvl w:val="9"/>
        <w:rPr>
          <w:rFonts w:hint="default" w:ascii="Times New Roman" w:hAnsi="Times New Roman" w:eastAsia="宋体" w:cs="Times New Roman"/>
          <w:caps w:val="0"/>
          <w:color w:val="000000"/>
          <w:lang w:val="en-US" w:eastAsia="zh-CN"/>
        </w:rPr>
      </w:pPr>
    </w:p>
    <w:p w14:paraId="3466139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Times New Roman"/>
          <w:caps w:val="0"/>
          <w:color w:val="auto"/>
          <w:sz w:val="32"/>
          <w:szCs w:val="32"/>
          <w:highlight w:val="none"/>
          <w:lang w:val="en-US" w:eastAsia="zh-CN"/>
        </w:rPr>
      </w:pPr>
      <w:r>
        <w:rPr>
          <w:rFonts w:hint="default" w:ascii="仿宋_GB2312" w:hAnsi="仿宋_GB2312" w:eastAsia="仿宋_GB2312" w:cs="Times New Roman"/>
          <w:caps w:val="0"/>
          <w:color w:val="auto"/>
          <w:sz w:val="32"/>
          <w:szCs w:val="32"/>
          <w:highlight w:val="none"/>
          <w:lang w:val="en-US" w:eastAsia="zh-CN"/>
        </w:rPr>
        <w:t>为贯彻落实住建部办公厅、发改委办公厅、工信部办公厅、财政部办公厅、国家能源局综合司联合下发的《住房和城乡建设部办公厅等关于进一步深入推进城镇老旧小区改造工作的通知》（建办城〔2024〕53号）文件精神和省</w:t>
      </w:r>
      <w:r>
        <w:rPr>
          <w:rFonts w:hint="default" w:ascii="仿宋_GB2312" w:hAnsi="仿宋_GB2312" w:eastAsia="仿宋_GB2312" w:cs="Times New Roman"/>
          <w:caps w:val="0"/>
          <w:color w:val="auto"/>
          <w:sz w:val="32"/>
          <w:szCs w:val="32"/>
        </w:rPr>
        <w:t>住建厅、省发改委</w:t>
      </w:r>
      <w:r>
        <w:rPr>
          <w:rFonts w:hint="default" w:ascii="仿宋_GB2312" w:hAnsi="仿宋_GB2312" w:eastAsia="仿宋_GB2312" w:cs="Times New Roman"/>
          <w:caps w:val="0"/>
          <w:color w:val="auto"/>
          <w:sz w:val="32"/>
          <w:szCs w:val="32"/>
          <w:lang w:eastAsia="zh-CN"/>
        </w:rPr>
        <w:t>、</w:t>
      </w:r>
      <w:r>
        <w:rPr>
          <w:rFonts w:hint="default" w:ascii="仿宋_GB2312" w:hAnsi="仿宋_GB2312" w:eastAsia="仿宋_GB2312" w:cs="Times New Roman"/>
          <w:caps w:val="0"/>
          <w:color w:val="auto"/>
          <w:sz w:val="32"/>
          <w:szCs w:val="32"/>
        </w:rPr>
        <w:t>省财政厅</w:t>
      </w:r>
      <w:r>
        <w:rPr>
          <w:rFonts w:hint="default" w:ascii="仿宋_GB2312" w:hAnsi="仿宋_GB2312" w:eastAsia="仿宋_GB2312" w:cs="Times New Roman"/>
          <w:caps w:val="0"/>
          <w:color w:val="auto"/>
          <w:sz w:val="32"/>
          <w:szCs w:val="32"/>
          <w:lang w:eastAsia="zh-CN"/>
        </w:rPr>
        <w:t>、</w:t>
      </w:r>
      <w:r>
        <w:rPr>
          <w:rFonts w:hint="default" w:ascii="仿宋_GB2312" w:hAnsi="仿宋_GB2312" w:eastAsia="仿宋_GB2312" w:cs="Times New Roman"/>
          <w:caps w:val="0"/>
          <w:color w:val="auto"/>
          <w:sz w:val="32"/>
          <w:szCs w:val="32"/>
          <w:lang w:val="en-US" w:eastAsia="zh-CN"/>
        </w:rPr>
        <w:t>省通信管理局和省能源局发布的《关于公布2025年城镇老旧小区改造计划的通知》要求</w:t>
      </w:r>
      <w:r>
        <w:rPr>
          <w:rFonts w:hint="default" w:ascii="仿宋_GB2312" w:hAnsi="仿宋_GB2312" w:eastAsia="仿宋_GB2312" w:cs="Times New Roman"/>
          <w:caps w:val="0"/>
          <w:color w:val="auto"/>
          <w:sz w:val="32"/>
          <w:szCs w:val="32"/>
          <w:highlight w:val="none"/>
          <w:lang w:val="en-US" w:eastAsia="zh-CN"/>
        </w:rPr>
        <w:t>，结合我县实际，制定本实施方案。</w:t>
      </w:r>
    </w:p>
    <w:p w14:paraId="48624B6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黑体" w:cs="Times New Roman"/>
          <w:caps w:val="0"/>
          <w:color w:val="auto"/>
          <w:sz w:val="32"/>
          <w:szCs w:val="32"/>
          <w:lang w:val="en-US" w:eastAsia="zh-CN"/>
        </w:rPr>
      </w:pPr>
      <w:r>
        <w:rPr>
          <w:rFonts w:hint="default" w:ascii="Times New Roman" w:hAnsi="Times New Roman" w:eastAsia="黑体" w:cs="Times New Roman"/>
          <w:caps w:val="0"/>
          <w:color w:val="auto"/>
          <w:sz w:val="32"/>
          <w:szCs w:val="32"/>
          <w:lang w:val="en-US" w:eastAsia="zh-CN"/>
        </w:rPr>
        <w:t>一、总体要求</w:t>
      </w:r>
    </w:p>
    <w:p w14:paraId="1C485AC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仿宋_GB2312" w:hAnsi="仿宋_GB2312" w:eastAsia="仿宋_GB2312" w:cs="仿宋_GB2312"/>
          <w:caps w:val="0"/>
          <w:color w:val="auto"/>
          <w:sz w:val="32"/>
          <w:szCs w:val="32"/>
          <w:lang w:val="en-US" w:eastAsia="zh-CN"/>
        </w:rPr>
      </w:pPr>
      <w:r>
        <w:rPr>
          <w:rStyle w:val="48"/>
          <w:rFonts w:hint="default" w:ascii="Times New Roman" w:hAnsi="Times New Roman" w:eastAsia="楷体_GB2312" w:cs="Times New Roman"/>
          <w:caps w:val="0"/>
          <w:color w:val="auto"/>
          <w:sz w:val="32"/>
          <w:szCs w:val="32"/>
          <w:lang w:val="en-US" w:eastAsia="zh-CN"/>
        </w:rPr>
        <w:t>（一）改造范围。</w:t>
      </w:r>
      <w:r>
        <w:rPr>
          <w:rFonts w:hint="eastAsia" w:ascii="仿宋_GB2312" w:hAnsi="仿宋_GB2312" w:eastAsia="仿宋_GB2312" w:cs="仿宋_GB2312"/>
          <w:caps w:val="0"/>
          <w:color w:val="auto"/>
          <w:sz w:val="32"/>
          <w:szCs w:val="32"/>
          <w:lang w:val="en-US" w:eastAsia="zh-CN"/>
        </w:rPr>
        <w:t>北关小区、宏源小区、聚龙花园小区、化工家属院东区、审计局人民路家属院、龙泉小区（5、10号楼）、龙泉新村花园小区（1-4号楼）皇亭花苑（A区）、安泰能源小区、二中家属院（南楼）、城乡建设事业公司家属院、土产杂品有限公司家属院、大观园小区共13个老旧小区列入2025年老旧小区改造计划，惠及57幢楼房、1545户居民。</w:t>
      </w:r>
    </w:p>
    <w:p w14:paraId="3607344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Style w:val="48"/>
          <w:rFonts w:hint="default" w:ascii="Times New Roman" w:hAnsi="Times New Roman" w:eastAsia="楷体_GB2312" w:cs="Times New Roman"/>
          <w:caps w:val="0"/>
          <w:color w:val="auto"/>
          <w:sz w:val="32"/>
          <w:szCs w:val="32"/>
          <w:lang w:val="en-US" w:eastAsia="zh-CN"/>
        </w:rPr>
        <w:t>（二）改造内容。</w:t>
      </w:r>
      <w:r>
        <w:rPr>
          <w:rFonts w:hint="default" w:ascii="仿宋_GB2312" w:hAnsi="仿宋_GB2312" w:eastAsia="仿宋_GB2312" w:cs="仿宋_GB2312"/>
          <w:caps w:val="0"/>
          <w:color w:val="auto"/>
          <w:sz w:val="32"/>
          <w:szCs w:val="32"/>
          <w:lang w:val="en-US" w:eastAsia="zh-CN"/>
        </w:rPr>
        <w:t>实施老旧小区及相关区域的建筑、环境、配套设施改造、完善和提升。基础类改造内容主要包括拆违拆临、建筑物修缮、楼体外部墙面粉刷、道路硬化修复、排水管网更新、安防、消防、绿化、照明等非专营设施改造以及弱电“飞线”整治、自来水主管网更新等专营设施设备改造；提升类改造内容主要包括完善物业用房、新能源汽车充电桩、电动车充电车棚、健身器材安装、信息发布栏等。</w:t>
      </w:r>
    </w:p>
    <w:p w14:paraId="2874906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r>
        <w:rPr>
          <w:rStyle w:val="48"/>
          <w:rFonts w:hint="default" w:ascii="Times New Roman" w:hAnsi="Times New Roman" w:eastAsia="楷体_GB2312" w:cs="Times New Roman"/>
          <w:caps w:val="0"/>
          <w:color w:val="auto"/>
          <w:sz w:val="32"/>
          <w:szCs w:val="32"/>
          <w:lang w:val="en-US" w:eastAsia="zh-CN"/>
        </w:rPr>
        <w:t>（三）改造原则和工作机制。</w:t>
      </w:r>
      <w:r>
        <w:rPr>
          <w:rFonts w:hint="default" w:ascii="仿宋_GB2312" w:hAnsi="仿宋_GB2312" w:eastAsia="仿宋_GB2312" w:cs="仿宋_GB2312"/>
          <w:caps w:val="0"/>
          <w:color w:val="auto"/>
          <w:sz w:val="32"/>
          <w:szCs w:val="32"/>
          <w:lang w:val="en-US" w:eastAsia="zh-CN"/>
        </w:rPr>
        <w:t>坚持“政府主导、群众参与、各方支持、多元融资、一区一策、统筹推进”的原则，落实政府负责、部门牵头、统一组织、分片改造、街道配合和原产权单位全力参与的工作机制，各责任单位按照责任分工承担具体实施责任，负责老旧小区改造任务推进实施和长效管理。</w:t>
      </w:r>
    </w:p>
    <w:p w14:paraId="701CFEA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黑体" w:cs="Times New Roman"/>
          <w:caps w:val="0"/>
          <w:color w:val="auto"/>
          <w:sz w:val="32"/>
          <w:szCs w:val="32"/>
          <w:lang w:val="en-US" w:eastAsia="zh-CN"/>
        </w:rPr>
      </w:pPr>
      <w:r>
        <w:rPr>
          <w:rFonts w:hint="default" w:ascii="Times New Roman" w:hAnsi="Times New Roman" w:eastAsia="黑体" w:cs="Times New Roman"/>
          <w:caps w:val="0"/>
          <w:color w:val="auto"/>
          <w:sz w:val="32"/>
          <w:szCs w:val="32"/>
          <w:lang w:val="en-US" w:eastAsia="zh-CN"/>
        </w:rPr>
        <w:t>二、组织实施</w:t>
      </w:r>
    </w:p>
    <w:p w14:paraId="753D2A9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Style w:val="48"/>
          <w:rFonts w:hint="default" w:ascii="楷体_GB2312" w:hAnsi="楷体_GB2312" w:eastAsia="楷体_GB2312" w:cs="楷体_GB2312"/>
          <w:caps w:val="0"/>
          <w:color w:val="auto"/>
          <w:sz w:val="32"/>
          <w:szCs w:val="32"/>
          <w:lang w:val="en-US" w:eastAsia="zh-CN"/>
        </w:rPr>
        <w:t>（一）调查摸底（2025年2月底前完成）。</w:t>
      </w:r>
      <w:r>
        <w:rPr>
          <w:rFonts w:hint="default" w:ascii="仿宋_GB2312" w:hAnsi="仿宋_GB2312" w:eastAsia="仿宋_GB2312" w:cs="仿宋_GB2312"/>
          <w:caps w:val="0"/>
          <w:color w:val="auto"/>
          <w:sz w:val="32"/>
          <w:szCs w:val="32"/>
          <w:lang w:val="en-US" w:eastAsia="zh-CN"/>
        </w:rPr>
        <w:t>一是组织业务人员、设计单位、预算编制单位、水电气暖专营单位进行现场调查，充分摸清小区现状。二是征求各相关部门及小区原产权单位、物业服务企业及居民对改造工作意见建议，细化改造方案。初步改造方案在改造小区内公示，广泛征求居民意见，公示期不少于10个工作日。</w:t>
      </w:r>
    </w:p>
    <w:p w14:paraId="60D6A3B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Style w:val="48"/>
          <w:rFonts w:hint="default" w:ascii="楷体_GB2312" w:hAnsi="楷体_GB2312" w:eastAsia="楷体_GB2312" w:cs="楷体_GB2312"/>
          <w:caps w:val="0"/>
          <w:color w:val="auto"/>
          <w:sz w:val="32"/>
          <w:szCs w:val="32"/>
          <w:lang w:val="en-US" w:eastAsia="zh-CN"/>
        </w:rPr>
        <w:t>（二）改造方案设计（2025年3月上旬前完成）。</w:t>
      </w:r>
      <w:r>
        <w:rPr>
          <w:rFonts w:hint="default" w:ascii="仿宋_GB2312" w:hAnsi="仿宋_GB2312" w:eastAsia="仿宋_GB2312" w:cs="仿宋_GB2312"/>
          <w:caps w:val="0"/>
          <w:color w:val="auto"/>
          <w:sz w:val="32"/>
          <w:szCs w:val="32"/>
          <w:lang w:val="en-US" w:eastAsia="zh-CN"/>
        </w:rPr>
        <w:t>按照“一区一策”原则，根据《山东省城镇老旧小区改造工程质量通病防治技术指南》的要求，结合前期调查情况、居民改造意愿及小区实际情况确定改造方案，对改造小区进行改造设计，完成项目改造平面图和施工图设计。水电气暖专营单位分别根据各自行业标准和小区实际对有改造意愿小区的专营设施进行改造方案设计，完成项目改造平面图和施工图设计。</w:t>
      </w:r>
    </w:p>
    <w:p w14:paraId="07E16ED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Style w:val="48"/>
          <w:rFonts w:hint="default" w:ascii="楷体_GB2312" w:hAnsi="楷体_GB2312" w:eastAsia="楷体_GB2312" w:cs="楷体_GB2312"/>
          <w:caps w:val="0"/>
          <w:color w:val="auto"/>
          <w:sz w:val="32"/>
          <w:szCs w:val="32"/>
          <w:lang w:val="en-US" w:eastAsia="zh-CN"/>
        </w:rPr>
        <w:t>（三）预算编制（2025年3月上旬前完成）。</w:t>
      </w:r>
      <w:r>
        <w:rPr>
          <w:rFonts w:hint="default" w:ascii="仿宋_GB2312" w:hAnsi="仿宋_GB2312" w:eastAsia="仿宋_GB2312" w:cs="仿宋_GB2312"/>
          <w:caps w:val="0"/>
          <w:color w:val="auto"/>
          <w:sz w:val="32"/>
          <w:szCs w:val="32"/>
          <w:lang w:val="en-US" w:eastAsia="zh-CN"/>
        </w:rPr>
        <w:t>委托预算编制单位对改造内容进行工程量测算及造价预算，报县财政局评审中心评审。</w:t>
      </w:r>
    </w:p>
    <w:p w14:paraId="7FF193D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Style w:val="48"/>
          <w:rFonts w:hint="default" w:ascii="楷体_GB2312" w:hAnsi="楷体_GB2312" w:eastAsia="楷体_GB2312" w:cs="楷体_GB2312"/>
          <w:caps w:val="0"/>
          <w:color w:val="auto"/>
          <w:sz w:val="32"/>
          <w:szCs w:val="32"/>
          <w:lang w:val="en-US" w:eastAsia="zh-CN"/>
        </w:rPr>
        <w:t>（四）财政评审（2025年3月底前完成）。</w:t>
      </w:r>
      <w:r>
        <w:rPr>
          <w:rFonts w:hint="default" w:ascii="仿宋_GB2312" w:hAnsi="仿宋_GB2312" w:eastAsia="仿宋_GB2312" w:cs="仿宋_GB2312"/>
          <w:caps w:val="0"/>
          <w:color w:val="auto"/>
          <w:sz w:val="32"/>
          <w:szCs w:val="32"/>
          <w:lang w:val="en-US" w:eastAsia="zh-CN"/>
        </w:rPr>
        <w:t>由县财政承担改造资金的改造项目，由县住建局将改造工程预算报县财政局评审。</w:t>
      </w:r>
    </w:p>
    <w:p w14:paraId="15D29DF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Style w:val="48"/>
          <w:rFonts w:hint="default" w:ascii="楷体_GB2312" w:hAnsi="楷体_GB2312" w:eastAsia="楷体_GB2312" w:cs="楷体_GB2312"/>
          <w:caps w:val="0"/>
          <w:color w:val="auto"/>
          <w:sz w:val="32"/>
          <w:szCs w:val="32"/>
          <w:lang w:val="en-US" w:eastAsia="zh-CN"/>
        </w:rPr>
      </w:pPr>
      <w:r>
        <w:rPr>
          <w:rStyle w:val="48"/>
          <w:rFonts w:hint="eastAsia" w:ascii="楷体_GB2312" w:hAnsi="楷体_GB2312" w:eastAsia="楷体_GB2312" w:cs="楷体_GB2312"/>
          <w:caps w:val="0"/>
          <w:color w:val="auto"/>
          <w:sz w:val="32"/>
          <w:szCs w:val="32"/>
          <w:lang w:val="en-US" w:eastAsia="zh-CN"/>
        </w:rPr>
        <w:t>（五）工程招标（2025年4月底前完成）。</w:t>
      </w:r>
      <w:r>
        <w:rPr>
          <w:rFonts w:hint="default" w:ascii="Times New Roman" w:hAnsi="Times New Roman" w:eastAsia="仿宋_GB2312" w:cs="Times New Roman"/>
          <w:caps w:val="0"/>
          <w:color w:val="auto"/>
          <w:sz w:val="32"/>
          <w:szCs w:val="32"/>
          <w:lang w:val="en-US" w:eastAsia="zh-CN"/>
        </w:rPr>
        <w:t>工</w:t>
      </w:r>
      <w:r>
        <w:rPr>
          <w:rFonts w:hint="default" w:ascii="仿宋_GB2312" w:hAnsi="仿宋_GB2312" w:eastAsia="仿宋_GB2312" w:cs="仿宋_GB2312"/>
          <w:caps w:val="0"/>
          <w:color w:val="auto"/>
          <w:sz w:val="32"/>
          <w:szCs w:val="32"/>
          <w:lang w:val="en-US" w:eastAsia="zh-CN"/>
        </w:rPr>
        <w:t>程招标在完成财政评审后实施，县住建局负责13个小区由政府投资的改造项目招标工作。为优化我县建筑市场营商环境，吸引大型及中小微企业参与老旧小区改造，将改造工程分别以主体改造、弱电“飞线整治”改造、自来水主管网更新三个大项共七个标段进行招标。</w:t>
      </w:r>
    </w:p>
    <w:p w14:paraId="0687001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Style w:val="48"/>
          <w:rFonts w:hint="default" w:ascii="楷体_GB2312" w:hAnsi="楷体_GB2312" w:eastAsia="楷体_GB2312" w:cs="楷体_GB2312"/>
          <w:caps w:val="0"/>
          <w:color w:val="auto"/>
          <w:sz w:val="32"/>
          <w:szCs w:val="32"/>
          <w:lang w:val="en-US" w:eastAsia="zh-CN"/>
        </w:rPr>
      </w:pPr>
      <w:r>
        <w:rPr>
          <w:rStyle w:val="48"/>
          <w:rFonts w:hint="default" w:ascii="楷体_GB2312" w:hAnsi="楷体_GB2312" w:eastAsia="楷体_GB2312" w:cs="楷体_GB2312"/>
          <w:caps w:val="0"/>
          <w:color w:val="auto"/>
          <w:sz w:val="32"/>
          <w:szCs w:val="32"/>
          <w:lang w:val="en-US" w:eastAsia="zh-CN"/>
        </w:rPr>
        <w:t>（六）项目实施（2025年12月底前完工）</w:t>
      </w:r>
    </w:p>
    <w:p w14:paraId="370C6BDD">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_GB2312" w:cs="仿宋_GB2312"/>
          <w:bCs w:val="0"/>
          <w:caps w:val="0"/>
          <w:color w:val="auto"/>
          <w:kern w:val="2"/>
          <w:sz w:val="32"/>
          <w:szCs w:val="32"/>
          <w:lang w:val="en-US" w:eastAsia="zh-CN" w:bidi="ar-SA"/>
        </w:rPr>
      </w:pPr>
      <w:r>
        <w:rPr>
          <w:rFonts w:hint="default" w:ascii="仿宋_GB2312" w:hAnsi="仿宋_GB2312" w:eastAsia="仿宋_GB2312" w:cs="仿宋_GB2312"/>
          <w:bCs w:val="0"/>
          <w:caps w:val="0"/>
          <w:color w:val="auto"/>
          <w:kern w:val="2"/>
          <w:sz w:val="32"/>
          <w:szCs w:val="32"/>
          <w:lang w:val="en-US" w:eastAsia="zh-CN" w:bidi="ar-SA"/>
        </w:rPr>
        <w:t>1.组织施工。各改造项目完成招标后，按照工期要求组织施工，其中水、电、气、暖、通信设施及排水管网更新改造有路面开挖、管线预埋等地下隐蔽工程的，提前组织实施，不得影响地上工程改造进度。</w:t>
      </w:r>
    </w:p>
    <w:p w14:paraId="50C08C6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bCs w:val="0"/>
          <w:caps w:val="0"/>
          <w:color w:val="auto"/>
          <w:kern w:val="2"/>
          <w:sz w:val="32"/>
          <w:szCs w:val="32"/>
          <w:lang w:val="en-US" w:eastAsia="zh-CN" w:bidi="ar-SA"/>
        </w:rPr>
      </w:pPr>
      <w:r>
        <w:rPr>
          <w:rFonts w:hint="default" w:ascii="仿宋_GB2312" w:hAnsi="仿宋_GB2312" w:eastAsia="仿宋_GB2312" w:cs="仿宋_GB2312"/>
          <w:bCs w:val="0"/>
          <w:caps w:val="0"/>
          <w:color w:val="auto"/>
          <w:kern w:val="2"/>
          <w:sz w:val="32"/>
          <w:szCs w:val="32"/>
          <w:lang w:val="en-US" w:eastAsia="zh-CN" w:bidi="ar-SA"/>
        </w:rPr>
        <w:t>2.质量管控。2025年老旧小区改造项目委托监理、跟踪审计单位进行专业监理、审计，材料检测部门对进场主要材料进行检测，安全质监部门履行监督，确保工程质量。</w:t>
      </w:r>
    </w:p>
    <w:p w14:paraId="4F5D6F9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bCs w:val="0"/>
          <w:caps w:val="0"/>
          <w:color w:val="auto"/>
          <w:kern w:val="2"/>
          <w:sz w:val="32"/>
          <w:szCs w:val="32"/>
          <w:lang w:val="en-US" w:eastAsia="zh-CN" w:bidi="ar-SA"/>
        </w:rPr>
      </w:pPr>
      <w:r>
        <w:rPr>
          <w:rFonts w:hint="default" w:ascii="仿宋_GB2312" w:hAnsi="仿宋_GB2312" w:eastAsia="仿宋_GB2312" w:cs="仿宋_GB2312"/>
          <w:bCs w:val="0"/>
          <w:caps w:val="0"/>
          <w:color w:val="auto"/>
          <w:kern w:val="2"/>
          <w:sz w:val="32"/>
          <w:szCs w:val="32"/>
          <w:lang w:val="en-US" w:eastAsia="zh-CN" w:bidi="ar-SA"/>
        </w:rPr>
        <w:t>3.竣工验收。项目完工后，县住建局按照有关规定组织相关部门及邀请居民代表参加竣工验收。涉及专营设施改造验收的，由专营单位按有关政策组织验收。验收通过后，及时完成工程结算，做好资料整理、归档和移交工作。</w:t>
      </w:r>
    </w:p>
    <w:p w14:paraId="0183DB6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Style w:val="48"/>
          <w:rFonts w:hint="default" w:ascii="楷体_GB2312" w:hAnsi="楷体_GB2312" w:eastAsia="楷体_GB2312" w:cs="楷体_GB2312"/>
          <w:caps w:val="0"/>
          <w:color w:val="auto"/>
          <w:sz w:val="32"/>
          <w:szCs w:val="32"/>
          <w:lang w:val="en-US" w:eastAsia="zh-CN"/>
        </w:rPr>
        <w:t>（七）长效管理。</w:t>
      </w:r>
      <w:r>
        <w:rPr>
          <w:rFonts w:hint="default" w:ascii="仿宋_GB2312" w:hAnsi="仿宋_GB2312" w:eastAsia="仿宋_GB2312" w:cs="仿宋_GB2312"/>
          <w:caps w:val="0"/>
          <w:color w:val="auto"/>
          <w:sz w:val="32"/>
          <w:szCs w:val="32"/>
          <w:lang w:val="en-US" w:eastAsia="zh-CN"/>
        </w:rPr>
        <w:t>将改造后的老旧小区纳入社会治理范畴，强化基层党组织领导，以“沂蒙红色物业”党建联建推动共建共治共享，逐级列入专业化物业管理或公益物业服务实体、街道、社区统一管理等模式，建立长效管理机制，逐步实现改造后老旧小区物业管理全覆盖，做到“改造一个，管好一个”，避免“先改后乱”。</w:t>
      </w:r>
    </w:p>
    <w:p w14:paraId="0F92E03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黑体" w:cs="Times New Roman"/>
          <w:caps w:val="0"/>
          <w:color w:val="auto"/>
          <w:sz w:val="32"/>
          <w:szCs w:val="32"/>
          <w:lang w:val="en-US" w:eastAsia="zh-CN"/>
        </w:rPr>
      </w:pPr>
      <w:r>
        <w:rPr>
          <w:rFonts w:hint="default" w:ascii="Times New Roman" w:hAnsi="Times New Roman" w:eastAsia="黑体" w:cs="Times New Roman"/>
          <w:caps w:val="0"/>
          <w:color w:val="auto"/>
          <w:sz w:val="32"/>
          <w:szCs w:val="32"/>
          <w:lang w:val="en-US" w:eastAsia="zh-CN"/>
        </w:rPr>
        <w:t>三、改造方式和出资模式</w:t>
      </w:r>
    </w:p>
    <w:p w14:paraId="0C0E8F7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2025年老旧小区改造按照不增加政府隐性债务要求，运用系统思维、市场手段，创新老旧小区及小区外相关区域改造方式和融资模式。</w:t>
      </w:r>
    </w:p>
    <w:p w14:paraId="6F26330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Style w:val="48"/>
          <w:rFonts w:hint="default" w:ascii="楷体_GB2312" w:hAnsi="楷体_GB2312" w:eastAsia="楷体_GB2312" w:cs="楷体_GB2312"/>
          <w:caps w:val="0"/>
          <w:color w:val="auto"/>
          <w:sz w:val="32"/>
          <w:szCs w:val="32"/>
          <w:lang w:val="en-US" w:eastAsia="zh-CN"/>
        </w:rPr>
        <w:t>（一）大片区统筹平衡模式。</w:t>
      </w:r>
      <w:r>
        <w:rPr>
          <w:rFonts w:hint="default" w:ascii="仿宋_GB2312" w:hAnsi="仿宋_GB2312" w:eastAsia="仿宋_GB2312" w:cs="仿宋_GB2312"/>
          <w:caps w:val="0"/>
          <w:color w:val="auto"/>
          <w:sz w:val="32"/>
          <w:szCs w:val="32"/>
          <w:lang w:val="en-US" w:eastAsia="zh-CN"/>
        </w:rPr>
        <w:t>把具备条件的一个或多个老旧小区和既有建筑功能转换等项目捆绑统筹，生成老旧片区改造项目，加大片区内基础类项目的改造力度，做到项目内部统筹搭配、实现自我平衡。</w:t>
      </w:r>
    </w:p>
    <w:p w14:paraId="682C2E5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r>
        <w:rPr>
          <w:rStyle w:val="48"/>
          <w:rFonts w:hint="default" w:ascii="楷体_GB2312" w:hAnsi="楷体_GB2312" w:eastAsia="楷体_GB2312" w:cs="楷体_GB2312"/>
          <w:caps w:val="0"/>
          <w:color w:val="auto"/>
          <w:sz w:val="32"/>
          <w:szCs w:val="32"/>
          <w:lang w:val="en-US" w:eastAsia="zh-CN"/>
        </w:rPr>
        <w:t>（二）小区内自求平衡模式。</w:t>
      </w:r>
      <w:r>
        <w:rPr>
          <w:rFonts w:hint="default" w:ascii="仿宋_GB2312" w:hAnsi="仿宋_GB2312" w:eastAsia="仿宋_GB2312" w:cs="仿宋_GB2312"/>
          <w:caps w:val="0"/>
          <w:color w:val="auto"/>
          <w:sz w:val="32"/>
          <w:szCs w:val="32"/>
          <w:lang w:val="en-US" w:eastAsia="zh-CN"/>
        </w:rPr>
        <w:t>在有条件的小区内新建、改扩建用于公共服务的经营性设施，如吸引电动汽车充电桩安装运营企业等社会资本参与小区服务设施改造、建设和运营等，以未来产生的收益平衡老旧小区改造支出。</w:t>
      </w:r>
    </w:p>
    <w:p w14:paraId="5ECDB3F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Style w:val="48"/>
          <w:rFonts w:hint="default" w:ascii="楷体_GB2312" w:hAnsi="楷体_GB2312" w:eastAsia="楷体_GB2312" w:cs="楷体_GB2312"/>
          <w:caps w:val="0"/>
          <w:color w:val="auto"/>
          <w:sz w:val="32"/>
          <w:szCs w:val="32"/>
          <w:lang w:val="en-US" w:eastAsia="zh-CN"/>
        </w:rPr>
        <w:t>（三）政府引导的多元化投入改造模式。</w:t>
      </w:r>
      <w:r>
        <w:rPr>
          <w:rFonts w:hint="default" w:ascii="仿宋_GB2312" w:hAnsi="仿宋_GB2312" w:eastAsia="仿宋_GB2312" w:cs="仿宋_GB2312"/>
          <w:caps w:val="0"/>
          <w:color w:val="auto"/>
          <w:sz w:val="32"/>
          <w:szCs w:val="32"/>
          <w:lang w:val="en-US" w:eastAsia="zh-CN"/>
        </w:rPr>
        <w:t>通过政府引导、居民出资、政府补助、信贷支持、专业经营单位和原产权单位出资等渠道，统筹政策资源，筹集改造资金。</w:t>
      </w:r>
    </w:p>
    <w:p w14:paraId="6C75318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黑体" w:cs="Times New Roman"/>
          <w:caps w:val="0"/>
          <w:color w:val="auto"/>
          <w:sz w:val="32"/>
          <w:szCs w:val="32"/>
          <w:lang w:val="en-US" w:eastAsia="zh-CN"/>
        </w:rPr>
      </w:pPr>
      <w:r>
        <w:rPr>
          <w:rFonts w:hint="default" w:ascii="Times New Roman" w:hAnsi="Times New Roman" w:eastAsia="黑体" w:cs="Times New Roman"/>
          <w:caps w:val="0"/>
          <w:color w:val="auto"/>
          <w:sz w:val="32"/>
          <w:szCs w:val="32"/>
          <w:lang w:val="en-US" w:eastAsia="zh-CN"/>
        </w:rPr>
        <w:t>四、保障措施</w:t>
      </w:r>
    </w:p>
    <w:p w14:paraId="42DE479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Style w:val="48"/>
          <w:rFonts w:hint="default" w:ascii="楷体_GB2312" w:hAnsi="楷体_GB2312" w:eastAsia="楷体_GB2312" w:cs="楷体_GB2312"/>
          <w:caps w:val="0"/>
          <w:color w:val="auto"/>
          <w:sz w:val="32"/>
          <w:szCs w:val="32"/>
          <w:lang w:val="en-US" w:eastAsia="zh-CN"/>
        </w:rPr>
        <w:t>（一）加强组织领导。</w:t>
      </w:r>
      <w:r>
        <w:rPr>
          <w:rFonts w:hint="default" w:ascii="仿宋_GB2312" w:hAnsi="仿宋_GB2312" w:eastAsia="仿宋_GB2312" w:cs="仿宋_GB2312"/>
          <w:caps w:val="0"/>
          <w:color w:val="auto"/>
          <w:sz w:val="32"/>
          <w:szCs w:val="32"/>
          <w:lang w:val="en-US" w:eastAsia="zh-CN"/>
        </w:rPr>
        <w:t>县住建局负责老旧小区改造实施，建立联席会议制度，改造中遇到的政策冲突及需要多部门协调解决事项，由县住建局汇报，政府分管县长召集相关部门协调推进、解决。为提高工作效率，部门责任分工如下：</w:t>
      </w:r>
    </w:p>
    <w:p w14:paraId="658354B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1.县住建局。负责改造小区的改造方案制定，组织由政府投资的改造工程设计、预算编制、招标、施工、监理及验收等工作。资金来源：财政资金。</w:t>
      </w:r>
    </w:p>
    <w:p w14:paraId="25122F4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2.县财政局。负责统筹拨付老旧小区改造资金并监督使用。对由财政承担改造资金的改造项目进行评审、工程量收方结算。</w:t>
      </w:r>
    </w:p>
    <w:p w14:paraId="24EB04E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3.县发改局。负责申报、争取老旧小区改造中央预算内资金并监督使用。</w:t>
      </w:r>
    </w:p>
    <w:p w14:paraId="7095CCD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4.县行政审批服务局。负责办理老旧小区改造工程立项审批、施工许可等手续。</w:t>
      </w:r>
    </w:p>
    <w:p w14:paraId="321B032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5.县自然资源和规划局。负责指导各改造小区内及周边改扩建公共服务及社会服务设施的规划用地、项目设计和不动产登记工作。</w:t>
      </w:r>
    </w:p>
    <w:p w14:paraId="33C8AC2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6.县金融运行监测中心。负责协调地方金融机构，加大金融服务支持，落实上级金融支持老旧小区改造政策措施。</w:t>
      </w:r>
    </w:p>
    <w:p w14:paraId="3D2E113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7.县公安局。负责指导老旧小区改造安装视频监控等技防设施安装的规划、设计。</w:t>
      </w:r>
    </w:p>
    <w:p w14:paraId="16DE8E9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8.县综合行政执法局。会同郯城街道负责改造小区内的违建、临建拆除。监督、指导施工单位将改造更新后的排水管网接入市政雨污管网。</w:t>
      </w:r>
    </w:p>
    <w:p w14:paraId="38279AE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9.县信息通信发展办事处。负责协调通信专营单位对各改造小区内弱电“飞线”进行整治、接网入户。</w:t>
      </w:r>
    </w:p>
    <w:p w14:paraId="53D8B1A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10.县体育发展服务中心。按照住建部、国家体育总局关于“国球进社区”“国球进公园”等工作要求，负责对具备场地条件的老旧小区增设健身器材提供指导、支持。资金来源：财政资金及向上级申请体育彩票公益金。</w:t>
      </w:r>
    </w:p>
    <w:p w14:paraId="3633748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11.县消防大队。负责指导各改造小区消防设施的维修、更新改造。</w:t>
      </w:r>
    </w:p>
    <w:p w14:paraId="0CBD161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12.县融媒体中心。负责全县老旧小区改造政策宣传、报道等工作。</w:t>
      </w:r>
    </w:p>
    <w:p w14:paraId="29BEEB6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13.县供电公司、山东沂蒙兴业产业投资集团有限公司、新原供热公司、奥德燃气公司。按照行业管理规范及现行相关政策，负责老旧小区的供配电管网、供水管网、暖气管网、燃气管网和设施设备改造方案的制定，组织改造工程的设计、预算编制、物资招标采购、施工监理、验收及资料报送等工作。将2025年老旧小区优先列入本部门改造计划，主动承担社会责任，让利于民，分担改造费用。水电气暖专营设施的改造，要提前与小区原产权单位及物业公司一起征求业主改造意见，与老旧小区主体工程改造同步设计，提前实施，做到应改尽改。改造后按照相关规定将设施设备产权移交给各专营单位，由各专营单位负责维护管理，实现“一户一表、计量出户、抄收到户”的目标。资金来源：财政资金负担自来水主管网改造；供电改造由供电公司按现行政策筹集资金；暖气、天然气改造由业主、原产权单位、专营企业协商自筹。</w:t>
      </w:r>
    </w:p>
    <w:p w14:paraId="6D99FFC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14.郯城街道办事处。负责各改造小区党支部、业委会及物业服务企业进驻的批复备案等工作。</w:t>
      </w:r>
    </w:p>
    <w:p w14:paraId="347C664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15.小区原产权单位及物业服务企业。负责组建成立小区党支部、业委会。负责做好业主改造意见征求工作。对于由业主出资的改造项目，包括供电、天然气、供暖专营设施改造、增设电梯、外墙保温、楼道内粉刷等改造内容，要及时与专营单位和住建局相关科室沟通，确定改造方案、业主出资比例，并负责筹集改造资金。负责小区内的拆违、拆临以及清除影响改造施工的占用公共区域栽种树木、小菜园等工作。负责改造工程验收后的接收、接管，并同时选聘物业服务企业对改造小区开展规范化管理，避免先改后乱。</w:t>
      </w:r>
    </w:p>
    <w:p w14:paraId="76B0EE9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Style w:val="48"/>
          <w:rFonts w:hint="default" w:ascii="楷体_GB2312" w:hAnsi="楷体_GB2312" w:eastAsia="楷体_GB2312" w:cs="楷体_GB2312"/>
          <w:caps w:val="0"/>
          <w:color w:val="auto"/>
          <w:sz w:val="32"/>
          <w:szCs w:val="32"/>
          <w:lang w:val="en-US" w:eastAsia="zh-CN"/>
        </w:rPr>
        <w:t>（二）强化统筹谋划。</w:t>
      </w:r>
      <w:r>
        <w:rPr>
          <w:rFonts w:hint="default" w:ascii="仿宋_GB2312" w:hAnsi="仿宋_GB2312" w:eastAsia="仿宋_GB2312" w:cs="仿宋_GB2312"/>
          <w:caps w:val="0"/>
          <w:color w:val="auto"/>
          <w:sz w:val="32"/>
          <w:szCs w:val="32"/>
          <w:lang w:val="en-US" w:eastAsia="zh-CN"/>
        </w:rPr>
        <w:t>因地制宜，突出重点，优先改造涉及居民安全需要和基本生活需求的项目。改造施工按照“先地下后地上”原则统筹推进，协调实施。</w:t>
      </w:r>
    </w:p>
    <w:p w14:paraId="629A9DA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r>
        <w:rPr>
          <w:rStyle w:val="48"/>
          <w:rFonts w:hint="default" w:ascii="楷体_GB2312" w:hAnsi="楷体_GB2312" w:eastAsia="楷体_GB2312" w:cs="楷体_GB2312"/>
          <w:caps w:val="0"/>
          <w:color w:val="auto"/>
          <w:sz w:val="32"/>
          <w:szCs w:val="32"/>
          <w:lang w:val="en-US" w:eastAsia="zh-CN"/>
        </w:rPr>
        <w:t>（三）健全推进机制。</w:t>
      </w:r>
      <w:r>
        <w:rPr>
          <w:rFonts w:hint="default" w:ascii="仿宋_GB2312" w:hAnsi="仿宋_GB2312" w:eastAsia="仿宋_GB2312" w:cs="仿宋_GB2312"/>
          <w:caps w:val="0"/>
          <w:color w:val="auto"/>
          <w:sz w:val="32"/>
          <w:szCs w:val="32"/>
          <w:lang w:val="en-US" w:eastAsia="zh-CN"/>
        </w:rPr>
        <w:t>建立工作例会、信息通报、督导检查等制度，及时研究、协调解决有关重大事项和问题。将老旧小区改造工作纳入年度目标考核内容；专营单位出资情况纳入专营单位、负责人的经营等考核内容。</w:t>
      </w:r>
    </w:p>
    <w:p w14:paraId="6A5A492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Style w:val="48"/>
          <w:rFonts w:hint="eastAsia" w:ascii="楷体_GB2312" w:hAnsi="楷体_GB2312" w:eastAsia="楷体_GB2312" w:cs="楷体_GB2312"/>
          <w:caps w:val="0"/>
          <w:color w:val="auto"/>
          <w:sz w:val="32"/>
          <w:szCs w:val="32"/>
          <w:lang w:val="en-US" w:eastAsia="zh-CN"/>
        </w:rPr>
        <w:t>（四）“12345”热线工单和信访案件处置措施。</w:t>
      </w:r>
      <w:r>
        <w:rPr>
          <w:rFonts w:hint="default" w:ascii="仿宋_GB2312" w:hAnsi="仿宋_GB2312" w:eastAsia="仿宋_GB2312" w:cs="仿宋_GB2312"/>
          <w:caps w:val="0"/>
          <w:color w:val="auto"/>
          <w:sz w:val="32"/>
          <w:szCs w:val="32"/>
          <w:lang w:val="en-US" w:eastAsia="zh-CN"/>
        </w:rPr>
        <w:t>在改造过程中，对于出现的各种纠纷、投诉等由各责任单位按照职能权限及时解决。</w:t>
      </w:r>
    </w:p>
    <w:p w14:paraId="68CBFD4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Style w:val="48"/>
          <w:rFonts w:hint="default" w:ascii="楷体_GB2312" w:hAnsi="楷体_GB2312" w:eastAsia="楷体_GB2312" w:cs="楷体_GB2312"/>
          <w:caps w:val="0"/>
          <w:color w:val="auto"/>
          <w:sz w:val="32"/>
          <w:szCs w:val="32"/>
          <w:lang w:val="en-US" w:eastAsia="zh-CN"/>
        </w:rPr>
      </w:pPr>
      <w:r>
        <w:rPr>
          <w:rStyle w:val="48"/>
          <w:rFonts w:hint="default" w:ascii="楷体_GB2312" w:hAnsi="楷体_GB2312" w:eastAsia="楷体_GB2312" w:cs="楷体_GB2312"/>
          <w:caps w:val="0"/>
          <w:color w:val="auto"/>
          <w:sz w:val="32"/>
          <w:szCs w:val="32"/>
          <w:lang w:val="en-US" w:eastAsia="zh-CN"/>
        </w:rPr>
        <w:t>（五）加强监督检查</w:t>
      </w:r>
    </w:p>
    <w:p w14:paraId="03394F5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1.改造资金的使用，接受财政、审计部门的监督检查，邀请人大代表、政协委员、社会各界群众参与对全县老旧小区改造工作的监督和检查。</w:t>
      </w:r>
    </w:p>
    <w:p w14:paraId="219D78E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仿宋_GB2312" w:hAnsi="仿宋_GB2312" w:eastAsia="仿宋_GB2312" w:cs="仿宋_GB2312"/>
          <w:caps w:val="0"/>
          <w:color w:val="auto"/>
          <w:sz w:val="32"/>
          <w:szCs w:val="32"/>
          <w:lang w:val="en-US" w:eastAsia="zh-CN"/>
        </w:rPr>
      </w:pPr>
      <w:r>
        <w:rPr>
          <w:rFonts w:hint="default" w:ascii="仿宋_GB2312" w:hAnsi="仿宋_GB2312" w:eastAsia="仿宋_GB2312" w:cs="仿宋_GB2312"/>
          <w:caps w:val="0"/>
          <w:color w:val="auto"/>
          <w:sz w:val="32"/>
          <w:szCs w:val="32"/>
          <w:lang w:val="en-US" w:eastAsia="zh-CN"/>
        </w:rPr>
        <w:t>2.发挥新闻媒体的监督作用，加大对老旧小区改造工作的宣传引导，强化居民的主人翁意识，为改造工作推进营造良好氛围。</w:t>
      </w:r>
    </w:p>
    <w:p w14:paraId="5A9481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128EB0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0F9F3B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270598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455DD3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5675E6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17D71C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45E99B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0EDE48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6750FB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4242E7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14C2F0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6983F7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420A4E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102055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791034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06F849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689364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5B927D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10219A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031E03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0FFE0F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5650A1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2530FA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627F47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647704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2D4917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5D7081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171BA8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13A6A1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6F98DE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0149FA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aps w:val="0"/>
          <w:color w:val="auto"/>
          <w:sz w:val="32"/>
          <w:szCs w:val="32"/>
          <w:lang w:val="en-US" w:eastAsia="zh-CN"/>
        </w:rPr>
      </w:pPr>
    </w:p>
    <w:p w14:paraId="51F7FD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2D711E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3777DBBC">
      <w:pPr>
        <w:keepNext w:val="0"/>
        <w:keepLines w:val="0"/>
        <w:pageBreakBefore w:val="0"/>
        <w:kinsoku/>
        <w:wordWrap/>
        <w:overflowPunct w:val="0"/>
        <w:topLinePunct w:val="0"/>
        <w:autoSpaceDE/>
        <w:autoSpaceDN/>
        <w:bidi w:val="0"/>
        <w:adjustRightInd/>
        <w:snapToGrid/>
        <w:spacing w:line="600" w:lineRule="exact"/>
        <w:jc w:val="both"/>
        <w:textAlignment w:val="auto"/>
        <w:rPr>
          <w:rFonts w:hint="default" w:ascii="Times New Roman" w:hAnsi="Times New Roman" w:eastAsia="仿宋_GB2312" w:cs="Times New Roman"/>
          <w:caps w:val="0"/>
          <w:color w:val="auto"/>
          <w:sz w:val="32"/>
          <w:szCs w:val="3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-35560</wp:posOffset>
                </wp:positionH>
                <wp:positionV relativeFrom="paragraph">
                  <wp:posOffset>407035</wp:posOffset>
                </wp:positionV>
                <wp:extent cx="561594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8pt;margin-top:32.05pt;height:0pt;width:442.2pt;z-index:251667456;mso-width-relative:page;mso-height-relative:page;" filled="f" stroked="t" coordsize="21600,21600" o:gfxdata="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lUZ41gAAAAgBAAAPAAAAAAAAAAEAIAAAACIAAABkcnMvZG93bnJldi54bWxQSwEC&#10;FAAUAAAACACHTuJAxTl5uvYBAADjAwAADgAAAAAAAAABACAAAAAlAQAAZHJzL2Uyb0RvYy54bWxQ&#10;SwUGAAAAAAYABgBZAQAAjQU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6432" behindDoc="0" locked="0" layoutInCell="1" allowOverlap="1">
                <wp:simplePos x="0" y="0"/>
                <wp:positionH relativeFrom="column">
                  <wp:posOffset>-35560</wp:posOffset>
                </wp:positionH>
                <wp:positionV relativeFrom="paragraph">
                  <wp:posOffset>36195</wp:posOffset>
                </wp:positionV>
                <wp:extent cx="5615940" cy="0"/>
                <wp:effectExtent l="0" t="4445" r="0" b="5080"/>
                <wp:wrapNone/>
                <wp:docPr id="16" name="直接连接符 16"/>
                <wp:cNvGraphicFramePr/>
                <a:graphic xmlns:a="http://schemas.openxmlformats.org/drawingml/2006/main">
                  <a:graphicData uri="http://schemas.microsoft.com/office/word/2010/wordprocessingShape">
                    <wps:wsp>
                      <wps:cNvCnPr/>
                      <wps:spPr>
                        <a:xfrm>
                          <a:off x="1061085" y="9033510"/>
                          <a:ext cx="561594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8pt;margin-top:2.85pt;height:0pt;width:442.2pt;z-index:251666432;mso-width-relative:page;mso-height-relative:page;" filled="f" stroked="t" coordsize="21600,21600" o:gfxdata="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JhSStQAAAAGAQAADwAAAAAAAAABACAAAAAiAAAAZHJzL2Rv&#10;d25yZXYueG1sUEsBAhQAFAAAAAgAh07iQNZNlAMFAgAA7wMAAA4AAAAAAAAAAQAgAAAAIwEAAGRy&#10;cy9lMm9Eb2MueG1sUEsFBgAAAAAGAAYAWQEAAJo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郯城县人民政府办公室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日印发</w:t>
      </w:r>
    </w:p>
    <w:p w14:paraId="684FE8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551018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18BDD2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4136C0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2F25C2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607BFA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3976E6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52D907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郯政办字〔2025〕11号</w:t>
      </w:r>
    </w:p>
    <w:p w14:paraId="4D74AE0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32"/>
          <w:szCs w:val="32"/>
          <w:lang w:val="en-US" w:eastAsia="zh-CN"/>
        </w:rPr>
      </w:pPr>
    </w:p>
    <w:p w14:paraId="5017CF30">
      <w:pPr>
        <w:keepNext w:val="0"/>
        <w:keepLines w:val="0"/>
        <w:pageBreakBefore w:val="0"/>
        <w:widowControl/>
        <w:suppressLineNumbers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3"/>
          <w:szCs w:val="43"/>
          <w:lang w:val="en-US" w:eastAsia="zh-CN" w:bidi="ar"/>
        </w:rPr>
        <w:t>郯城县人民政府办公室</w:t>
      </w:r>
    </w:p>
    <w:p w14:paraId="3C504E0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Times New Roman"/>
          <w:sz w:val="44"/>
          <w:szCs w:val="44"/>
        </w:rPr>
      </w:pPr>
      <w:r>
        <w:rPr>
          <w:rFonts w:hint="default" w:ascii="Times New Roman" w:hAnsi="Times New Roman" w:eastAsia="方正小标宋简体" w:cs="Times New Roman"/>
          <w:color w:val="000000"/>
          <w:kern w:val="0"/>
          <w:sz w:val="43"/>
          <w:szCs w:val="43"/>
          <w:lang w:val="en-US" w:eastAsia="zh-CN" w:bidi="ar"/>
        </w:rPr>
        <w:t>关于印发</w:t>
      </w:r>
      <w:r>
        <w:rPr>
          <w:rFonts w:hint="default" w:ascii="方正小标宋简体" w:hAnsi="方正小标宋简体" w:eastAsia="方正小标宋简体" w:cs="Times New Roman"/>
          <w:color w:val="000000"/>
          <w:kern w:val="0"/>
          <w:sz w:val="43"/>
          <w:szCs w:val="43"/>
          <w:lang w:val="en-US" w:eastAsia="zh-CN" w:bidi="ar"/>
        </w:rPr>
        <w:t>《</w:t>
      </w:r>
      <w:r>
        <w:rPr>
          <w:rFonts w:hint="default" w:ascii="方正小标宋简体" w:hAnsi="方正小标宋简体" w:eastAsia="方正小标宋简体" w:cs="Times New Roman"/>
          <w:sz w:val="44"/>
          <w:szCs w:val="44"/>
        </w:rPr>
        <w:t>郯城县202</w:t>
      </w:r>
      <w:r>
        <w:rPr>
          <w:rFonts w:hint="eastAsia" w:ascii="方正小标宋简体" w:hAnsi="方正小标宋简体" w:eastAsia="方正小标宋简体" w:cs="Times New Roman"/>
          <w:sz w:val="44"/>
          <w:szCs w:val="44"/>
          <w:lang w:val="en-US" w:eastAsia="zh-CN"/>
        </w:rPr>
        <w:t>5</w:t>
      </w:r>
      <w:r>
        <w:rPr>
          <w:rFonts w:hint="default" w:ascii="方正小标宋简体" w:hAnsi="方正小标宋简体" w:eastAsia="方正小标宋简体" w:cs="Times New Roman"/>
          <w:sz w:val="44"/>
          <w:szCs w:val="44"/>
        </w:rPr>
        <w:t>年关爱妇女儿童</w:t>
      </w:r>
    </w:p>
    <w:p w14:paraId="7B89B82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000000"/>
          <w:kern w:val="0"/>
          <w:sz w:val="43"/>
          <w:szCs w:val="43"/>
          <w:lang w:val="en-US" w:eastAsia="zh-CN" w:bidi="ar"/>
        </w:rPr>
      </w:pPr>
      <w:r>
        <w:rPr>
          <w:rFonts w:hint="default" w:ascii="方正小标宋简体" w:hAnsi="方正小标宋简体" w:eastAsia="方正小标宋简体" w:cs="Times New Roman"/>
          <w:sz w:val="44"/>
          <w:szCs w:val="44"/>
        </w:rPr>
        <w:t>十件实事</w:t>
      </w:r>
      <w:r>
        <w:rPr>
          <w:rFonts w:hint="eastAsia" w:ascii="方正小标宋简体" w:hAnsi="方正小标宋简体" w:eastAsia="方正小标宋简体" w:cs="Times New Roman"/>
          <w:sz w:val="44"/>
          <w:szCs w:val="44"/>
          <w:lang w:val="en-US" w:eastAsia="zh-CN"/>
        </w:rPr>
        <w:t>清单</w:t>
      </w:r>
      <w:r>
        <w:rPr>
          <w:rFonts w:hint="default" w:ascii="方正小标宋简体" w:hAnsi="方正小标宋简体" w:eastAsia="方正小标宋简体" w:cs="Times New Roman"/>
          <w:color w:val="000000"/>
          <w:kern w:val="0"/>
          <w:sz w:val="43"/>
          <w:szCs w:val="43"/>
          <w:lang w:val="en-US" w:eastAsia="zh-CN" w:bidi="ar"/>
        </w:rPr>
        <w:t>》</w:t>
      </w:r>
      <w:r>
        <w:rPr>
          <w:rFonts w:hint="default" w:ascii="Times New Roman" w:hAnsi="Times New Roman" w:eastAsia="方正小标宋简体" w:cs="Times New Roman"/>
          <w:color w:val="000000"/>
          <w:kern w:val="0"/>
          <w:sz w:val="43"/>
          <w:szCs w:val="43"/>
          <w:lang w:val="en-US" w:eastAsia="zh-CN" w:bidi="ar"/>
        </w:rPr>
        <w:t>的通知</w:t>
      </w:r>
    </w:p>
    <w:p w14:paraId="139A8CB0">
      <w:pPr>
        <w:pStyle w:val="51"/>
        <w:keepNext w:val="0"/>
        <w:keepLines w:val="0"/>
        <w:pageBreakBefore w:val="0"/>
        <w:kinsoku/>
        <w:wordWrap/>
        <w:overflowPunct/>
        <w:topLinePunct w:val="0"/>
        <w:autoSpaceDE/>
        <w:autoSpaceDN/>
        <w:bidi w:val="0"/>
        <w:snapToGrid/>
        <w:spacing w:line="540" w:lineRule="exact"/>
        <w:rPr>
          <w:rFonts w:hint="default" w:ascii="Times New Roman" w:hAnsi="Times New Roman" w:eastAsia="仿宋_GB2312" w:cs="Times New Roman"/>
          <w:sz w:val="32"/>
          <w:szCs w:val="32"/>
        </w:rPr>
      </w:pPr>
    </w:p>
    <w:p w14:paraId="4F2C17E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各乡镇人民政府、郯城街道办事处，县直有关部门、单位，郯城经济开发区管委会，新村银杏产业开发区管委会：</w:t>
      </w:r>
    </w:p>
    <w:p w14:paraId="54B1F95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现将《郯城县</w:t>
      </w:r>
      <w:r>
        <w:rPr>
          <w:rFonts w:hint="default" w:ascii="仿宋_GB2312" w:hAnsi="仿宋_GB2312" w:eastAsia="仿宋_GB2312" w:cs="Times New Roman"/>
          <w:color w:val="000000"/>
          <w:kern w:val="0"/>
          <w:sz w:val="32"/>
          <w:szCs w:val="32"/>
          <w:lang w:val="en-US" w:eastAsia="zh-CN" w:bidi="ar"/>
        </w:rPr>
        <w:t>202</w:t>
      </w:r>
      <w:r>
        <w:rPr>
          <w:rFonts w:hint="eastAsia" w:ascii="仿宋_GB2312" w:hAnsi="仿宋_GB2312" w:eastAsia="仿宋_GB2312" w:cs="Times New Roman"/>
          <w:color w:val="000000"/>
          <w:kern w:val="0"/>
          <w:sz w:val="32"/>
          <w:szCs w:val="32"/>
          <w:lang w:val="en-US" w:eastAsia="zh-CN" w:bidi="ar"/>
        </w:rPr>
        <w:t>5</w:t>
      </w:r>
      <w:r>
        <w:rPr>
          <w:rFonts w:hint="default" w:ascii="仿宋_GB2312" w:hAnsi="仿宋_GB2312" w:eastAsia="仿宋_GB2312" w:cs="Times New Roman"/>
          <w:color w:val="000000"/>
          <w:kern w:val="0"/>
          <w:sz w:val="32"/>
          <w:szCs w:val="32"/>
          <w:lang w:val="en-US" w:eastAsia="zh-CN" w:bidi="ar"/>
        </w:rPr>
        <w:t>年关爱妇女儿童十件实事</w:t>
      </w:r>
      <w:r>
        <w:rPr>
          <w:rFonts w:hint="eastAsia" w:ascii="仿宋_GB2312" w:hAnsi="仿宋_GB2312" w:eastAsia="仿宋_GB2312" w:cs="Times New Roman"/>
          <w:color w:val="000000"/>
          <w:kern w:val="0"/>
          <w:sz w:val="32"/>
          <w:szCs w:val="32"/>
          <w:lang w:val="en-US" w:eastAsia="zh-CN" w:bidi="ar"/>
        </w:rPr>
        <w:t>清单</w:t>
      </w:r>
      <w:r>
        <w:rPr>
          <w:rFonts w:hint="default" w:ascii="仿宋_GB2312" w:hAnsi="仿宋_GB2312" w:eastAsia="仿宋_GB2312" w:cs="Times New Roman"/>
          <w:color w:val="000000"/>
          <w:kern w:val="0"/>
          <w:sz w:val="32"/>
          <w:szCs w:val="32"/>
          <w:lang w:val="en-US" w:eastAsia="zh-CN" w:bidi="ar"/>
        </w:rPr>
        <w:t>》印发给你们，请认真抓好落实。</w:t>
      </w:r>
    </w:p>
    <w:p w14:paraId="4B86632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Times New Roman"/>
          <w:color w:val="000000"/>
          <w:kern w:val="0"/>
          <w:sz w:val="32"/>
          <w:szCs w:val="32"/>
          <w:lang w:val="en-US" w:eastAsia="zh-CN" w:bidi="ar"/>
        </w:rPr>
      </w:pPr>
    </w:p>
    <w:p w14:paraId="120694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outlineLvl w:val="9"/>
        <w:rPr>
          <w:rFonts w:hint="default" w:ascii="仿宋_GB2312" w:hAnsi="仿宋_GB2312" w:eastAsia="仿宋_GB2312" w:cs="Times New Roman"/>
          <w:color w:val="000000"/>
          <w:kern w:val="0"/>
          <w:sz w:val="32"/>
          <w:szCs w:val="32"/>
          <w:lang w:val="en-US" w:eastAsia="zh-CN" w:bidi="ar"/>
        </w:rPr>
      </w:pPr>
      <w:r>
        <w:rPr>
          <w:rFonts w:hint="default" w:ascii="仿宋_GB2312" w:hAnsi="仿宋_GB2312" w:eastAsia="仿宋_GB2312" w:cs="Times New Roman"/>
          <w:color w:val="000000"/>
          <w:kern w:val="0"/>
          <w:sz w:val="32"/>
          <w:szCs w:val="32"/>
          <w:lang w:val="en-US" w:eastAsia="zh-CN" w:bidi="ar"/>
        </w:rPr>
        <w:t>郯城县人民政府办公室</w:t>
      </w:r>
    </w:p>
    <w:p w14:paraId="717098A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仿宋_GB2312" w:hAnsi="仿宋_GB2312" w:eastAsia="仿宋_GB2312" w:cs="Times New Roman"/>
          <w:color w:val="000000"/>
          <w:kern w:val="0"/>
          <w:sz w:val="32"/>
          <w:szCs w:val="32"/>
          <w:lang w:val="en-US" w:eastAsia="zh-CN" w:bidi="ar"/>
        </w:rPr>
        <w:t>202</w:t>
      </w:r>
      <w:r>
        <w:rPr>
          <w:rFonts w:hint="eastAsia" w:ascii="仿宋_GB2312" w:hAnsi="仿宋_GB2312" w:eastAsia="仿宋_GB2312" w:cs="Times New Roman"/>
          <w:color w:val="000000"/>
          <w:kern w:val="0"/>
          <w:sz w:val="32"/>
          <w:szCs w:val="32"/>
          <w:lang w:val="en-US" w:eastAsia="zh-CN" w:bidi="ar"/>
        </w:rPr>
        <w:t>5</w:t>
      </w:r>
      <w:r>
        <w:rPr>
          <w:rFonts w:hint="default" w:ascii="仿宋_GB2312" w:hAnsi="仿宋_GB2312" w:eastAsia="仿宋_GB2312" w:cs="Times New Roman"/>
          <w:color w:val="000000"/>
          <w:kern w:val="0"/>
          <w:sz w:val="32"/>
          <w:szCs w:val="32"/>
          <w:lang w:val="en-US" w:eastAsia="zh-CN" w:bidi="ar"/>
        </w:rPr>
        <w:t>年</w:t>
      </w:r>
      <w:r>
        <w:rPr>
          <w:rFonts w:hint="eastAsia" w:ascii="仿宋_GB2312" w:hAnsi="仿宋_GB2312" w:eastAsia="仿宋_GB2312" w:cs="Times New Roman"/>
          <w:color w:val="000000"/>
          <w:kern w:val="0"/>
          <w:sz w:val="32"/>
          <w:szCs w:val="32"/>
          <w:lang w:val="en-US" w:eastAsia="zh-CN" w:bidi="ar"/>
        </w:rPr>
        <w:t>5</w:t>
      </w:r>
      <w:r>
        <w:rPr>
          <w:rFonts w:hint="default" w:ascii="仿宋_GB2312" w:hAnsi="仿宋_GB2312" w:eastAsia="仿宋_GB2312" w:cs="Times New Roman"/>
          <w:color w:val="000000"/>
          <w:kern w:val="0"/>
          <w:sz w:val="32"/>
          <w:szCs w:val="32"/>
          <w:lang w:val="en-US" w:eastAsia="zh-CN" w:bidi="ar"/>
        </w:rPr>
        <w:t>月</w:t>
      </w:r>
      <w:r>
        <w:rPr>
          <w:rFonts w:hint="eastAsia" w:ascii="仿宋_GB2312" w:hAnsi="仿宋_GB2312" w:eastAsia="仿宋_GB2312" w:cs="Times New Roman"/>
          <w:color w:val="000000"/>
          <w:kern w:val="0"/>
          <w:sz w:val="32"/>
          <w:szCs w:val="32"/>
          <w:lang w:val="en-US" w:eastAsia="zh-CN" w:bidi="ar"/>
        </w:rPr>
        <w:t>21</w:t>
      </w:r>
      <w:r>
        <w:rPr>
          <w:rFonts w:hint="default" w:ascii="仿宋_GB2312" w:hAnsi="仿宋_GB2312" w:eastAsia="仿宋_GB2312" w:cs="Times New Roman"/>
          <w:color w:val="000000"/>
          <w:kern w:val="0"/>
          <w:sz w:val="32"/>
          <w:szCs w:val="32"/>
          <w:lang w:val="en-US" w:eastAsia="zh-CN" w:bidi="ar"/>
        </w:rPr>
        <w:t>日</w:t>
      </w:r>
    </w:p>
    <w:p w14:paraId="40174CF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000000"/>
          <w:kern w:val="0"/>
          <w:sz w:val="32"/>
          <w:szCs w:val="32"/>
          <w:lang w:val="en-US" w:eastAsia="zh-CN" w:bidi="ar"/>
        </w:rPr>
        <w:t xml:space="preserve">    </w:t>
      </w:r>
    </w:p>
    <w:p w14:paraId="47AF82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方正小标宋简体" w:cs="Times New Roman"/>
          <w:sz w:val="44"/>
          <w:szCs w:val="44"/>
        </w:rPr>
      </w:pPr>
      <w:r>
        <w:rPr>
          <w:rFonts w:hint="default" w:ascii="Times New Roman" w:hAnsi="Times New Roman" w:eastAsia="仿宋_GB2312" w:cs="Times New Roman"/>
          <w:color w:val="000000"/>
          <w:kern w:val="0"/>
          <w:sz w:val="32"/>
          <w:szCs w:val="32"/>
          <w:lang w:val="en-US" w:eastAsia="zh-CN" w:bidi="ar"/>
        </w:rPr>
        <w:t>（此件公开发布）</w:t>
      </w:r>
    </w:p>
    <w:p w14:paraId="6CE127B9">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b w:val="0"/>
          <w:bCs w:val="0"/>
          <w:color w:val="000000"/>
          <w:sz w:val="44"/>
          <w:szCs w:val="44"/>
          <w:lang w:val="en-US" w:eastAsia="zh-CN"/>
        </w:rPr>
      </w:pPr>
    </w:p>
    <w:p w14:paraId="12D197FB">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b w:val="0"/>
          <w:bCs w:val="0"/>
          <w:color w:val="000000"/>
          <w:sz w:val="44"/>
          <w:szCs w:val="44"/>
          <w:lang w:eastAsia="zh-CN"/>
        </w:rPr>
      </w:pPr>
      <w:r>
        <w:rPr>
          <w:rFonts w:hint="default" w:ascii="Times New Roman" w:hAnsi="Times New Roman" w:eastAsia="方正小标宋简体" w:cs="Times New Roman"/>
          <w:b w:val="0"/>
          <w:bCs w:val="0"/>
          <w:color w:val="000000"/>
          <w:sz w:val="44"/>
          <w:szCs w:val="44"/>
          <w:lang w:val="en-US" w:eastAsia="zh-CN"/>
        </w:rPr>
        <w:t>郯城</w:t>
      </w:r>
      <w:r>
        <w:rPr>
          <w:rFonts w:hint="default" w:ascii="方正小标宋简体" w:hAnsi="方正小标宋简体" w:eastAsia="方正小标宋简体" w:cs="Times New Roman"/>
          <w:b w:val="0"/>
          <w:bCs w:val="0"/>
          <w:color w:val="000000"/>
          <w:sz w:val="44"/>
          <w:szCs w:val="44"/>
          <w:lang w:val="en-US" w:eastAsia="zh-CN"/>
        </w:rPr>
        <w:t>县</w:t>
      </w:r>
      <w:r>
        <w:rPr>
          <w:rFonts w:hint="default" w:ascii="方正小标宋简体" w:hAnsi="方正小标宋简体" w:eastAsia="方正小标宋简体" w:cs="Times New Roman"/>
          <w:b w:val="0"/>
          <w:bCs w:val="0"/>
          <w:color w:val="000000"/>
          <w:sz w:val="44"/>
          <w:szCs w:val="44"/>
          <w:lang w:eastAsia="zh-CN"/>
        </w:rPr>
        <w:t>2025</w:t>
      </w:r>
      <w:r>
        <w:rPr>
          <w:rFonts w:hint="default" w:ascii="Times New Roman" w:hAnsi="Times New Roman" w:eastAsia="方正小标宋简体" w:cs="Times New Roman"/>
          <w:b w:val="0"/>
          <w:bCs w:val="0"/>
          <w:color w:val="000000"/>
          <w:sz w:val="44"/>
          <w:szCs w:val="44"/>
          <w:lang w:eastAsia="zh-CN"/>
        </w:rPr>
        <w:t>年关爱妇女儿童十件实事清单</w:t>
      </w:r>
    </w:p>
    <w:p w14:paraId="126FE6A6">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仿宋_GB2312" w:cs="Times New Roman"/>
          <w:b w:val="0"/>
          <w:bCs w:val="0"/>
          <w:color w:val="000000"/>
          <w:sz w:val="32"/>
          <w:szCs w:val="32"/>
          <w:lang w:eastAsia="zh-CN"/>
        </w:rPr>
      </w:pPr>
    </w:p>
    <w:p w14:paraId="05B221E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Times New Roman"/>
          <w:b w:val="0"/>
          <w:bCs w:val="0"/>
          <w:color w:val="000000"/>
          <w:sz w:val="32"/>
          <w:szCs w:val="32"/>
          <w:vertAlign w:val="baseline"/>
          <w:lang w:val="en-US" w:eastAsia="zh-CN"/>
        </w:rPr>
      </w:pPr>
      <w:r>
        <w:rPr>
          <w:rFonts w:hint="eastAsia" w:ascii="黑体" w:hAnsi="黑体" w:eastAsia="黑体" w:cs="黑体"/>
          <w:b w:val="0"/>
          <w:bCs w:val="0"/>
          <w:color w:val="000000"/>
          <w:sz w:val="32"/>
          <w:szCs w:val="32"/>
          <w:lang w:eastAsia="zh-CN"/>
        </w:rPr>
        <w:t>一、实施</w:t>
      </w:r>
      <w:r>
        <w:rPr>
          <w:rFonts w:hint="eastAsia" w:ascii="黑体" w:hAnsi="黑体" w:eastAsia="黑体" w:cs="黑体"/>
          <w:b w:val="0"/>
          <w:bCs w:val="0"/>
          <w:color w:val="000000"/>
          <w:sz w:val="32"/>
          <w:szCs w:val="32"/>
          <w:vertAlign w:val="baseline"/>
          <w:lang w:val="en-US" w:eastAsia="zh-CN"/>
        </w:rPr>
        <w:t>中小学生健康体检及</w:t>
      </w:r>
      <w:r>
        <w:rPr>
          <w:rFonts w:hint="eastAsia" w:ascii="黑体" w:hAnsi="黑体" w:eastAsia="黑体" w:cs="黑体"/>
          <w:b w:val="0"/>
          <w:bCs w:val="0"/>
          <w:color w:val="000000"/>
          <w:kern w:val="0"/>
          <w:sz w:val="32"/>
          <w:szCs w:val="32"/>
          <w:lang w:val="en-US" w:eastAsia="zh-CN"/>
        </w:rPr>
        <w:t>0-6岁儿童孤独症筛查</w:t>
      </w:r>
      <w:r>
        <w:rPr>
          <w:rFonts w:hint="eastAsia" w:ascii="黑体" w:hAnsi="黑体" w:eastAsia="黑体" w:cs="黑体"/>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为全县中小学生提供健康体检服务，对学生生长发育进行评估，对体检中发现的脊柱侧弯、眼保健、心理筛查等阳性者进行干预。对部分乡镇幼儿园在园儿童进行生长发育、营养状况评估，筛查身材矮小儿童，进行科学管理；筛查孤独症患儿，对其进行科学干预及指导。</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牵头单位</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县卫健局</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责任单位</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县教体局、各乡镇人民政府、郯城街道办事处</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郯城经济开发区管委会，新村银杏产业开发区管委会</w:t>
      </w:r>
      <w:r>
        <w:rPr>
          <w:rFonts w:hint="eastAsia" w:ascii="仿宋_GB2312" w:hAnsi="仿宋_GB2312" w:eastAsia="仿宋_GB2312" w:cs="Times New Roman"/>
          <w:b w:val="0"/>
          <w:bCs w:val="0"/>
          <w:color w:val="000000"/>
          <w:sz w:val="32"/>
          <w:szCs w:val="32"/>
          <w:vertAlign w:val="baseline"/>
          <w:lang w:val="en-US" w:eastAsia="zh-CN"/>
        </w:rPr>
        <w:t>）</w:t>
      </w:r>
    </w:p>
    <w:p w14:paraId="3B57227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Times New Roman"/>
          <w:b w:val="0"/>
          <w:bCs w:val="0"/>
          <w:color w:val="000000"/>
          <w:sz w:val="32"/>
          <w:szCs w:val="32"/>
          <w:vertAlign w:val="baseline"/>
          <w:lang w:val="en-US" w:eastAsia="zh-CN"/>
        </w:rPr>
      </w:pPr>
      <w:r>
        <w:rPr>
          <w:rFonts w:hint="default" w:ascii="黑体" w:hAnsi="黑体" w:eastAsia="黑体" w:cs="黑体"/>
          <w:b w:val="0"/>
          <w:bCs w:val="0"/>
          <w:color w:val="000000"/>
          <w:sz w:val="32"/>
          <w:szCs w:val="32"/>
          <w:lang w:eastAsia="zh-CN"/>
        </w:rPr>
        <w:t>二、开展妇女儿童体质监测</w:t>
      </w:r>
      <w:r>
        <w:rPr>
          <w:rFonts w:hint="default" w:ascii="黑体" w:hAnsi="黑体" w:eastAsia="黑体" w:cs="黑体"/>
          <w:b w:val="0"/>
          <w:bCs w:val="0"/>
          <w:color w:val="000000"/>
          <w:sz w:val="32"/>
          <w:szCs w:val="32"/>
          <w:lang w:val="en-US" w:eastAsia="zh-CN"/>
        </w:rPr>
        <w:t>及</w:t>
      </w:r>
      <w:r>
        <w:rPr>
          <w:rFonts w:hint="default" w:ascii="黑体" w:hAnsi="黑体" w:eastAsia="黑体" w:cs="黑体"/>
          <w:b w:val="0"/>
          <w:bCs w:val="0"/>
          <w:color w:val="000000"/>
          <w:sz w:val="32"/>
          <w:szCs w:val="32"/>
          <w:lang w:eastAsia="zh-CN"/>
        </w:rPr>
        <w:t>妇女儿童体育赛事。</w:t>
      </w:r>
      <w:r>
        <w:rPr>
          <w:rFonts w:hint="default" w:ascii="仿宋_GB2312" w:hAnsi="仿宋_GB2312" w:eastAsia="仿宋_GB2312" w:cs="Times New Roman"/>
          <w:b w:val="0"/>
          <w:bCs w:val="0"/>
          <w:color w:val="000000"/>
          <w:sz w:val="32"/>
          <w:szCs w:val="32"/>
          <w:vertAlign w:val="baseline"/>
          <w:lang w:val="en-US" w:eastAsia="zh-CN"/>
        </w:rPr>
        <w:t>为全县300余名妇女儿童开展体质监测，结合“三八”妇女节、“六一”儿童节等时间节点，为妇女儿童举办专项体育赛事，开具“运动处方”指导妇女儿童科学健身，提升妇女儿童的幸福感和参与感。</w:t>
      </w:r>
      <w:r>
        <w:rPr>
          <w:rFonts w:hint="eastAsia" w:ascii="仿宋_GB2312" w:hAnsi="仿宋_GB2312" w:eastAsia="仿宋_GB2312" w:cs="Times New Roman"/>
          <w:b w:val="0"/>
          <w:bCs w:val="0"/>
          <w:color w:val="000000"/>
          <w:sz w:val="32"/>
          <w:szCs w:val="32"/>
          <w:vertAlign w:val="baseline"/>
          <w:lang w:val="en-US" w:eastAsia="zh-CN"/>
        </w:rPr>
        <w:t>（牵头</w:t>
      </w:r>
      <w:r>
        <w:rPr>
          <w:rFonts w:hint="default" w:ascii="仿宋_GB2312" w:hAnsi="仿宋_GB2312" w:eastAsia="仿宋_GB2312" w:cs="Times New Roman"/>
          <w:b w:val="0"/>
          <w:bCs w:val="0"/>
          <w:color w:val="000000"/>
          <w:sz w:val="32"/>
          <w:szCs w:val="32"/>
          <w:vertAlign w:val="baseline"/>
          <w:lang w:val="en-US" w:eastAsia="zh-CN"/>
        </w:rPr>
        <w:t>单位</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县体育发展中心</w:t>
      </w:r>
      <w:r>
        <w:rPr>
          <w:rFonts w:hint="eastAsia" w:ascii="仿宋_GB2312" w:hAnsi="仿宋_GB2312" w:eastAsia="仿宋_GB2312" w:cs="Times New Roman"/>
          <w:b w:val="0"/>
          <w:bCs w:val="0"/>
          <w:color w:val="000000"/>
          <w:sz w:val="32"/>
          <w:szCs w:val="32"/>
          <w:vertAlign w:val="baseline"/>
          <w:lang w:val="en-US" w:eastAsia="zh-CN"/>
        </w:rPr>
        <w:t>）</w:t>
      </w:r>
    </w:p>
    <w:p w14:paraId="31B19DC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Times New Roman"/>
          <w:b w:val="0"/>
          <w:bCs w:val="0"/>
          <w:color w:val="000000"/>
          <w:sz w:val="32"/>
          <w:szCs w:val="32"/>
          <w:vertAlign w:val="baseline"/>
          <w:lang w:val="en-US" w:eastAsia="zh-CN"/>
        </w:rPr>
      </w:pPr>
      <w:r>
        <w:rPr>
          <w:rFonts w:hint="default" w:ascii="黑体" w:hAnsi="黑体" w:eastAsia="黑体" w:cs="黑体"/>
          <w:b w:val="0"/>
          <w:bCs w:val="0"/>
          <w:color w:val="000000"/>
          <w:sz w:val="32"/>
          <w:szCs w:val="32"/>
          <w:lang w:eastAsia="zh-CN"/>
        </w:rPr>
        <w:t>三、</w:t>
      </w:r>
      <w:r>
        <w:rPr>
          <w:rFonts w:hint="default" w:ascii="黑体" w:hAnsi="黑体" w:eastAsia="黑体" w:cs="黑体"/>
          <w:b w:val="0"/>
          <w:bCs w:val="0"/>
          <w:color w:val="000000"/>
          <w:sz w:val="32"/>
          <w:szCs w:val="32"/>
          <w:lang w:val="en-US" w:eastAsia="zh-CN"/>
        </w:rPr>
        <w:t>实施</w:t>
      </w:r>
      <w:r>
        <w:rPr>
          <w:rFonts w:hint="default" w:ascii="黑体" w:hAnsi="黑体" w:eastAsia="黑体" w:cs="黑体"/>
          <w:b w:val="0"/>
          <w:bCs w:val="0"/>
          <w:color w:val="000000"/>
          <w:sz w:val="32"/>
          <w:szCs w:val="32"/>
          <w:lang w:eastAsia="zh-CN"/>
        </w:rPr>
        <w:t>巾帼电商</w:t>
      </w:r>
      <w:r>
        <w:rPr>
          <w:rFonts w:hint="default" w:ascii="黑体" w:hAnsi="黑体" w:eastAsia="黑体" w:cs="黑体"/>
          <w:b w:val="0"/>
          <w:bCs w:val="0"/>
          <w:color w:val="000000"/>
          <w:sz w:val="32"/>
          <w:szCs w:val="32"/>
          <w:lang w:val="en-US" w:eastAsia="zh-CN"/>
        </w:rPr>
        <w:t>公益</w:t>
      </w:r>
      <w:r>
        <w:rPr>
          <w:rFonts w:hint="default" w:ascii="黑体" w:hAnsi="黑体" w:eastAsia="黑体" w:cs="黑体"/>
          <w:b w:val="0"/>
          <w:bCs w:val="0"/>
          <w:color w:val="000000"/>
          <w:sz w:val="32"/>
          <w:szCs w:val="32"/>
          <w:lang w:eastAsia="zh-CN"/>
        </w:rPr>
        <w:t>培训</w:t>
      </w:r>
      <w:r>
        <w:rPr>
          <w:rFonts w:hint="default" w:ascii="黑体" w:hAnsi="黑体" w:eastAsia="黑体" w:cs="黑体"/>
          <w:b w:val="0"/>
          <w:bCs w:val="0"/>
          <w:color w:val="000000"/>
          <w:sz w:val="32"/>
          <w:szCs w:val="32"/>
          <w:lang w:val="en-US" w:eastAsia="zh-CN"/>
        </w:rPr>
        <w:t>项目</w:t>
      </w:r>
      <w:r>
        <w:rPr>
          <w:rFonts w:hint="default" w:ascii="黑体" w:hAnsi="黑体" w:eastAsia="黑体" w:cs="黑体"/>
          <w:b w:val="0"/>
          <w:bCs w:val="0"/>
          <w:color w:val="000000"/>
          <w:sz w:val="32"/>
          <w:szCs w:val="32"/>
          <w:lang w:eastAsia="zh-CN"/>
        </w:rPr>
        <w:t>。</w:t>
      </w:r>
      <w:r>
        <w:rPr>
          <w:rFonts w:hint="default" w:ascii="仿宋_GB2312" w:hAnsi="仿宋_GB2312" w:eastAsia="仿宋_GB2312" w:cs="Times New Roman"/>
          <w:b w:val="0"/>
          <w:bCs w:val="0"/>
          <w:color w:val="000000"/>
          <w:sz w:val="32"/>
          <w:szCs w:val="32"/>
          <w:vertAlign w:val="baseline"/>
          <w:lang w:val="en-US" w:eastAsia="zh-CN"/>
        </w:rPr>
        <w:t>为更好服务广大妇女顺应“互联网+”的新趋势，科学运用互联网平台，拓展创业门路和发展电商经济，在全县范围内开展巾帼电商公益培训，培训妇女500名，提升妇女创业技能，增强妇女创业本领。</w:t>
      </w:r>
      <w:r>
        <w:rPr>
          <w:rFonts w:hint="eastAsia" w:ascii="仿宋_GB2312" w:hAnsi="仿宋_GB2312" w:eastAsia="仿宋_GB2312" w:cs="Times New Roman"/>
          <w:b w:val="0"/>
          <w:bCs w:val="0"/>
          <w:color w:val="000000"/>
          <w:sz w:val="32"/>
          <w:szCs w:val="32"/>
          <w:vertAlign w:val="baseline"/>
          <w:lang w:val="en-US" w:eastAsia="zh-CN"/>
        </w:rPr>
        <w:t>（牵头</w:t>
      </w:r>
      <w:r>
        <w:rPr>
          <w:rFonts w:hint="default" w:ascii="仿宋_GB2312" w:hAnsi="仿宋_GB2312" w:eastAsia="仿宋_GB2312" w:cs="Times New Roman"/>
          <w:b w:val="0"/>
          <w:bCs w:val="0"/>
          <w:color w:val="000000"/>
          <w:sz w:val="32"/>
          <w:szCs w:val="32"/>
          <w:vertAlign w:val="baseline"/>
          <w:lang w:val="en-US" w:eastAsia="zh-CN"/>
        </w:rPr>
        <w:t>单位</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县商务局、县妇联</w:t>
      </w:r>
      <w:r>
        <w:rPr>
          <w:rFonts w:hint="eastAsia" w:ascii="仿宋_GB2312" w:hAnsi="仿宋_GB2312" w:eastAsia="仿宋_GB2312" w:cs="Times New Roman"/>
          <w:b w:val="0"/>
          <w:bCs w:val="0"/>
          <w:color w:val="000000"/>
          <w:sz w:val="32"/>
          <w:szCs w:val="32"/>
          <w:vertAlign w:val="baseline"/>
          <w:lang w:val="en-US" w:eastAsia="zh-CN"/>
        </w:rPr>
        <w:t>）</w:t>
      </w:r>
    </w:p>
    <w:p w14:paraId="70D159D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Times New Roman"/>
          <w:b w:val="0"/>
          <w:bCs w:val="0"/>
          <w:color w:val="000000"/>
          <w:sz w:val="32"/>
          <w:szCs w:val="32"/>
          <w:vertAlign w:val="baseline"/>
          <w:lang w:val="en-US" w:eastAsia="zh-CN"/>
        </w:rPr>
      </w:pPr>
      <w:r>
        <w:rPr>
          <w:rFonts w:hint="default" w:ascii="黑体" w:hAnsi="黑体" w:eastAsia="黑体" w:cs="黑体"/>
          <w:b w:val="0"/>
          <w:bCs w:val="0"/>
          <w:color w:val="000000"/>
          <w:sz w:val="32"/>
          <w:szCs w:val="32"/>
          <w:lang w:eastAsia="zh-CN"/>
        </w:rPr>
        <w:t>四、加强孤困儿童关爱帮扶。</w:t>
      </w:r>
      <w:r>
        <w:rPr>
          <w:rFonts w:hint="default" w:ascii="仿宋_GB2312" w:hAnsi="仿宋_GB2312" w:eastAsia="仿宋_GB2312" w:cs="Times New Roman"/>
          <w:b w:val="0"/>
          <w:bCs w:val="0"/>
          <w:color w:val="000000"/>
          <w:sz w:val="32"/>
          <w:szCs w:val="32"/>
          <w:vertAlign w:val="baseline"/>
          <w:lang w:val="en-US" w:eastAsia="zh-CN"/>
        </w:rPr>
        <w:t>落实主动发现机制，按时足额发放基本生活费，规范开展助医助学项目，兜牢孤困儿童基本生活保障网。有针对性地为重点青少年提</w:t>
      </w:r>
      <w:r>
        <w:rPr>
          <w:rFonts w:hint="eastAsia" w:ascii="仿宋_GB2312" w:hAnsi="仿宋_GB2312" w:eastAsia="仿宋_GB2312" w:cs="Times New Roman"/>
          <w:b w:val="0"/>
          <w:bCs w:val="0"/>
          <w:color w:val="000000"/>
          <w:sz w:val="32"/>
          <w:szCs w:val="32"/>
          <w:vertAlign w:val="baseline"/>
          <w:lang w:val="en-US" w:eastAsia="zh-CN"/>
        </w:rPr>
        <w:t>供</w:t>
      </w:r>
      <w:r>
        <w:rPr>
          <w:rFonts w:hint="default" w:ascii="仿宋_GB2312" w:hAnsi="仿宋_GB2312" w:eastAsia="仿宋_GB2312" w:cs="Times New Roman"/>
          <w:b w:val="0"/>
          <w:bCs w:val="0"/>
          <w:color w:val="000000"/>
          <w:sz w:val="32"/>
          <w:szCs w:val="32"/>
          <w:vertAlign w:val="baseline"/>
          <w:lang w:val="en-US" w:eastAsia="zh-CN"/>
        </w:rPr>
        <w:t>“思想引导、心理疏导、生活帮导”等关爱服务。</w:t>
      </w:r>
      <w:r>
        <w:rPr>
          <w:rFonts w:hint="eastAsia" w:ascii="仿宋_GB2312" w:hAnsi="仿宋_GB2312" w:eastAsia="仿宋_GB2312" w:cs="Times New Roman"/>
          <w:b w:val="0"/>
          <w:bCs w:val="0"/>
          <w:color w:val="000000"/>
          <w:sz w:val="32"/>
          <w:szCs w:val="32"/>
          <w:vertAlign w:val="baseline"/>
          <w:lang w:val="en-US" w:eastAsia="zh-CN"/>
        </w:rPr>
        <w:t>（牵头</w:t>
      </w:r>
      <w:r>
        <w:rPr>
          <w:rFonts w:hint="default" w:ascii="仿宋_GB2312" w:hAnsi="仿宋_GB2312" w:eastAsia="仿宋_GB2312" w:cs="Times New Roman"/>
          <w:b w:val="0"/>
          <w:bCs w:val="0"/>
          <w:color w:val="000000"/>
          <w:sz w:val="32"/>
          <w:szCs w:val="32"/>
          <w:vertAlign w:val="baseline"/>
          <w:lang w:val="en-US" w:eastAsia="zh-CN"/>
        </w:rPr>
        <w:t>单位</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县民政局、团县委</w:t>
      </w:r>
      <w:r>
        <w:rPr>
          <w:rFonts w:hint="eastAsia" w:ascii="仿宋_GB2312" w:hAnsi="仿宋_GB2312" w:eastAsia="仿宋_GB2312" w:cs="Times New Roman"/>
          <w:b w:val="0"/>
          <w:bCs w:val="0"/>
          <w:color w:val="000000"/>
          <w:sz w:val="32"/>
          <w:szCs w:val="32"/>
          <w:vertAlign w:val="baseline"/>
          <w:lang w:val="en-US" w:eastAsia="zh-CN"/>
        </w:rPr>
        <w:t>）</w:t>
      </w:r>
    </w:p>
    <w:p w14:paraId="44F63CE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Times New Roman"/>
          <w:b w:val="0"/>
          <w:bCs w:val="0"/>
          <w:color w:val="000000"/>
          <w:sz w:val="32"/>
          <w:szCs w:val="32"/>
          <w:vertAlign w:val="baseline"/>
          <w:lang w:val="en-US" w:eastAsia="zh-CN"/>
        </w:rPr>
      </w:pPr>
      <w:r>
        <w:rPr>
          <w:rFonts w:hint="default" w:ascii="黑体" w:hAnsi="黑体" w:eastAsia="黑体" w:cs="黑体"/>
          <w:b w:val="0"/>
          <w:bCs w:val="0"/>
          <w:color w:val="000000"/>
          <w:sz w:val="32"/>
          <w:szCs w:val="32"/>
          <w:lang w:eastAsia="zh-CN"/>
        </w:rPr>
        <w:t>五、开展残疾儿童康复救助。</w:t>
      </w:r>
      <w:r>
        <w:rPr>
          <w:rFonts w:hint="default" w:ascii="仿宋_GB2312" w:hAnsi="仿宋_GB2312" w:eastAsia="仿宋_GB2312" w:cs="Times New Roman"/>
          <w:b w:val="0"/>
          <w:bCs w:val="0"/>
          <w:color w:val="000000"/>
          <w:sz w:val="32"/>
          <w:szCs w:val="32"/>
          <w:vertAlign w:val="baseline"/>
          <w:lang w:val="en-US" w:eastAsia="zh-CN"/>
        </w:rPr>
        <w:t>依托各类定点康复机构，为全县不低于320名残疾儿童提供肢体矫治手术、辅助器具适配、集中康复训练等康复救助服务。</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牵头单位</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县残联</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责任单位</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县教体局、县民政局、县财政局、县卫健局、县医保局，各乡镇人民政府、郯城街道办事处</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郯城经济开发区管委会，新村银杏产业开发区管委会）</w:t>
      </w:r>
    </w:p>
    <w:p w14:paraId="3C5C8BA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Times New Roman"/>
          <w:b w:val="0"/>
          <w:bCs w:val="0"/>
          <w:color w:val="000000"/>
          <w:sz w:val="32"/>
          <w:szCs w:val="32"/>
          <w:vertAlign w:val="baseline"/>
          <w:lang w:val="en-US" w:eastAsia="zh-CN"/>
        </w:rPr>
      </w:pPr>
      <w:r>
        <w:rPr>
          <w:rFonts w:hint="default" w:ascii="黑体" w:hAnsi="黑体" w:eastAsia="黑体" w:cs="黑体"/>
          <w:b w:val="0"/>
          <w:bCs w:val="0"/>
          <w:color w:val="000000"/>
          <w:sz w:val="32"/>
          <w:szCs w:val="32"/>
          <w:lang w:eastAsia="zh-CN"/>
        </w:rPr>
        <w:t>六、实施生育津贴、产前检查费“免申即享”。</w:t>
      </w:r>
      <w:r>
        <w:rPr>
          <w:rFonts w:hint="default" w:ascii="仿宋_GB2312" w:hAnsi="仿宋_GB2312" w:eastAsia="仿宋_GB2312" w:cs="Times New Roman"/>
          <w:b w:val="0"/>
          <w:bCs w:val="0"/>
          <w:color w:val="000000"/>
          <w:sz w:val="32"/>
          <w:szCs w:val="32"/>
          <w:vertAlign w:val="baseline"/>
          <w:lang w:val="en-US" w:eastAsia="zh-CN"/>
        </w:rPr>
        <w:t>在信息系统实现参保女职工数据信息自动抓取，对符合条件的参保女职工实现生育津贴和产前检查费“免申即享”。</w:t>
      </w:r>
      <w:r>
        <w:rPr>
          <w:rFonts w:hint="eastAsia" w:ascii="仿宋_GB2312" w:hAnsi="仿宋_GB2312" w:eastAsia="仿宋_GB2312" w:cs="Times New Roman"/>
          <w:b w:val="0"/>
          <w:bCs w:val="0"/>
          <w:color w:val="000000"/>
          <w:sz w:val="32"/>
          <w:szCs w:val="32"/>
          <w:vertAlign w:val="baseline"/>
          <w:lang w:val="en-US" w:eastAsia="zh-CN"/>
        </w:rPr>
        <w:t>（牵头</w:t>
      </w:r>
      <w:r>
        <w:rPr>
          <w:rFonts w:hint="default" w:ascii="仿宋_GB2312" w:hAnsi="仿宋_GB2312" w:eastAsia="仿宋_GB2312" w:cs="Times New Roman"/>
          <w:b w:val="0"/>
          <w:bCs w:val="0"/>
          <w:color w:val="000000"/>
          <w:sz w:val="32"/>
          <w:szCs w:val="32"/>
          <w:vertAlign w:val="baseline"/>
          <w:lang w:val="en-US" w:eastAsia="zh-CN"/>
        </w:rPr>
        <w:t>单位</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县医保局</w:t>
      </w:r>
      <w:r>
        <w:rPr>
          <w:rFonts w:hint="eastAsia" w:ascii="仿宋_GB2312" w:hAnsi="仿宋_GB2312" w:eastAsia="仿宋_GB2312" w:cs="Times New Roman"/>
          <w:b w:val="0"/>
          <w:bCs w:val="0"/>
          <w:color w:val="000000"/>
          <w:sz w:val="32"/>
          <w:szCs w:val="32"/>
          <w:vertAlign w:val="baseline"/>
          <w:lang w:val="en-US" w:eastAsia="zh-CN"/>
        </w:rPr>
        <w:t>）</w:t>
      </w:r>
    </w:p>
    <w:p w14:paraId="13952AE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Times New Roman"/>
          <w:b w:val="0"/>
          <w:bCs w:val="0"/>
          <w:color w:val="000000"/>
          <w:sz w:val="32"/>
          <w:szCs w:val="32"/>
          <w:vertAlign w:val="baseline"/>
          <w:lang w:val="en-US" w:eastAsia="zh-CN"/>
        </w:rPr>
      </w:pPr>
      <w:r>
        <w:rPr>
          <w:rFonts w:hint="default" w:ascii="黑体" w:hAnsi="黑体" w:eastAsia="黑体" w:cs="黑体"/>
          <w:b w:val="0"/>
          <w:bCs w:val="0"/>
          <w:color w:val="000000"/>
          <w:sz w:val="32"/>
          <w:szCs w:val="32"/>
          <w:lang w:eastAsia="zh-CN"/>
        </w:rPr>
        <w:t>七、</w:t>
      </w:r>
      <w:r>
        <w:rPr>
          <w:rFonts w:hint="default" w:ascii="黑体" w:hAnsi="黑体" w:eastAsia="黑体" w:cs="黑体"/>
          <w:b w:val="0"/>
          <w:bCs w:val="0"/>
          <w:color w:val="000000"/>
          <w:sz w:val="32"/>
          <w:szCs w:val="32"/>
          <w:lang w:val="en-US" w:eastAsia="zh-CN"/>
        </w:rPr>
        <w:t>实施</w:t>
      </w:r>
      <w:r>
        <w:rPr>
          <w:rFonts w:hint="default" w:ascii="黑体" w:hAnsi="黑体" w:eastAsia="黑体" w:cs="黑体"/>
          <w:b w:val="0"/>
          <w:bCs w:val="0"/>
          <w:color w:val="000000"/>
          <w:sz w:val="32"/>
          <w:szCs w:val="32"/>
          <w:lang w:eastAsia="zh-CN"/>
        </w:rPr>
        <w:t>未成年人网络环境整治专项行动，</w:t>
      </w:r>
      <w:r>
        <w:rPr>
          <w:rFonts w:hint="default" w:ascii="黑体" w:hAnsi="黑体" w:eastAsia="黑体" w:cs="黑体"/>
          <w:b w:val="0"/>
          <w:bCs w:val="0"/>
          <w:color w:val="000000"/>
          <w:sz w:val="32"/>
          <w:szCs w:val="32"/>
          <w:lang w:val="en-US" w:eastAsia="zh-CN"/>
        </w:rPr>
        <w:t>推进</w:t>
      </w:r>
      <w:r>
        <w:rPr>
          <w:rFonts w:hint="default" w:ascii="黑体" w:hAnsi="黑体" w:eastAsia="黑体" w:cs="黑体"/>
          <w:b w:val="0"/>
          <w:bCs w:val="0"/>
          <w:color w:val="000000"/>
          <w:sz w:val="32"/>
          <w:szCs w:val="32"/>
          <w:lang w:eastAsia="zh-CN"/>
        </w:rPr>
        <w:t>青少年普法</w:t>
      </w:r>
      <w:r>
        <w:rPr>
          <w:rFonts w:hint="default" w:ascii="黑体" w:hAnsi="黑体" w:eastAsia="黑体" w:cs="黑体"/>
          <w:b w:val="0"/>
          <w:bCs w:val="0"/>
          <w:color w:val="000000"/>
          <w:sz w:val="32"/>
          <w:szCs w:val="32"/>
          <w:lang w:val="en-US" w:eastAsia="zh-CN"/>
        </w:rPr>
        <w:t>全域化开展。</w:t>
      </w:r>
      <w:r>
        <w:rPr>
          <w:rFonts w:hint="default" w:ascii="仿宋_GB2312" w:hAnsi="仿宋_GB2312" w:eastAsia="仿宋_GB2312" w:cs="Times New Roman"/>
          <w:b w:val="0"/>
          <w:bCs w:val="0"/>
          <w:color w:val="000000"/>
          <w:sz w:val="32"/>
          <w:szCs w:val="32"/>
          <w:vertAlign w:val="baseline"/>
          <w:lang w:val="en-US" w:eastAsia="zh-CN"/>
        </w:rPr>
        <w:t>深入清理整治危害未成年人合法权益、妨害儿童健康成长的违法违规信息、网站平台和公众账号，营造良好的网络空间环境。在审理离婚、抚养及其他涉及妇女儿童的案件中发出家庭教育指导令与关爱未成年人提示卡，依托“鲁冰花”家长课堂、“小法槌”普法志愿服务项目，开展家庭教育指导服务、模拟法庭进校园等普法活动。</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牵头单位</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县委宣传部、县人民法院</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责任单位</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县教体局、团县委、县妇联、县民政局、县公安局、县司法局、县文旅局、县关工委</w:t>
      </w:r>
      <w:r>
        <w:rPr>
          <w:rFonts w:hint="eastAsia" w:ascii="仿宋_GB2312" w:hAnsi="仿宋_GB2312" w:eastAsia="仿宋_GB2312" w:cs="Times New Roman"/>
          <w:b w:val="0"/>
          <w:bCs w:val="0"/>
          <w:color w:val="000000"/>
          <w:sz w:val="32"/>
          <w:szCs w:val="32"/>
          <w:vertAlign w:val="baseline"/>
          <w:lang w:val="en-US" w:eastAsia="zh-CN"/>
        </w:rPr>
        <w:t>）</w:t>
      </w:r>
    </w:p>
    <w:p w14:paraId="32CF66A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Times New Roman"/>
          <w:b w:val="0"/>
          <w:bCs w:val="0"/>
          <w:color w:val="000000"/>
          <w:sz w:val="32"/>
          <w:szCs w:val="32"/>
          <w:vertAlign w:val="baseline"/>
          <w:lang w:val="en-US" w:eastAsia="zh-CN"/>
        </w:rPr>
      </w:pPr>
      <w:r>
        <w:rPr>
          <w:rFonts w:hint="default" w:ascii="黑体" w:hAnsi="黑体" w:eastAsia="黑体" w:cs="黑体"/>
          <w:b w:val="0"/>
          <w:bCs w:val="0"/>
          <w:color w:val="000000"/>
          <w:sz w:val="32"/>
          <w:szCs w:val="32"/>
          <w:lang w:eastAsia="zh-CN"/>
        </w:rPr>
        <w:t>八、建设12338妇联维权服务中心。</w:t>
      </w:r>
      <w:r>
        <w:rPr>
          <w:rFonts w:hint="default" w:ascii="仿宋_GB2312" w:hAnsi="仿宋_GB2312" w:eastAsia="仿宋_GB2312" w:cs="Times New Roman"/>
          <w:b w:val="0"/>
          <w:bCs w:val="0"/>
          <w:color w:val="000000"/>
          <w:sz w:val="32"/>
          <w:szCs w:val="32"/>
          <w:vertAlign w:val="baseline"/>
          <w:lang w:val="en-US" w:eastAsia="zh-CN"/>
        </w:rPr>
        <w:t>建设1处县级12338妇联维权服务中心，面向全县妇女儿童和家庭提供婚姻家庭矛盾纠纷调解、法律政策咨询解答、心理情绪疏导等综合维权关爱服务，用心用情为妇女儿童和家庭办实事解难事。</w:t>
      </w:r>
      <w:r>
        <w:rPr>
          <w:rFonts w:hint="eastAsia" w:ascii="仿宋_GB2312" w:hAnsi="仿宋_GB2312" w:eastAsia="仿宋_GB2312" w:cs="Times New Roman"/>
          <w:b w:val="0"/>
          <w:bCs w:val="0"/>
          <w:color w:val="000000"/>
          <w:sz w:val="32"/>
          <w:szCs w:val="32"/>
          <w:vertAlign w:val="baseline"/>
          <w:lang w:val="en-US" w:eastAsia="zh-CN"/>
        </w:rPr>
        <w:t>（牵头</w:t>
      </w:r>
      <w:r>
        <w:rPr>
          <w:rFonts w:hint="default" w:ascii="仿宋_GB2312" w:hAnsi="仿宋_GB2312" w:eastAsia="仿宋_GB2312" w:cs="Times New Roman"/>
          <w:b w:val="0"/>
          <w:bCs w:val="0"/>
          <w:color w:val="000000"/>
          <w:sz w:val="32"/>
          <w:szCs w:val="32"/>
          <w:vertAlign w:val="baseline"/>
          <w:lang w:val="en-US" w:eastAsia="zh-CN"/>
        </w:rPr>
        <w:t>单位</w:t>
      </w:r>
      <w:r>
        <w:rPr>
          <w:rFonts w:hint="eastAsia" w:ascii="仿宋_GB2312" w:hAnsi="仿宋_GB2312" w:eastAsia="仿宋_GB2312" w:cs="Times New Roman"/>
          <w:b w:val="0"/>
          <w:bCs w:val="0"/>
          <w:color w:val="000000"/>
          <w:sz w:val="32"/>
          <w:szCs w:val="32"/>
          <w:vertAlign w:val="baseline"/>
          <w:lang w:val="en-US" w:eastAsia="zh-CN"/>
        </w:rPr>
        <w:t>：</w:t>
      </w:r>
      <w:r>
        <w:rPr>
          <w:rFonts w:hint="default" w:ascii="仿宋_GB2312" w:hAnsi="仿宋_GB2312" w:eastAsia="仿宋_GB2312" w:cs="Times New Roman"/>
          <w:b w:val="0"/>
          <w:bCs w:val="0"/>
          <w:color w:val="000000"/>
          <w:sz w:val="32"/>
          <w:szCs w:val="32"/>
          <w:vertAlign w:val="baseline"/>
          <w:lang w:val="en-US" w:eastAsia="zh-CN"/>
        </w:rPr>
        <w:t>县妇联</w:t>
      </w:r>
      <w:r>
        <w:rPr>
          <w:rFonts w:hint="eastAsia" w:ascii="仿宋_GB2312" w:hAnsi="仿宋_GB2312" w:eastAsia="仿宋_GB2312" w:cs="Times New Roman"/>
          <w:b w:val="0"/>
          <w:bCs w:val="0"/>
          <w:color w:val="000000"/>
          <w:sz w:val="32"/>
          <w:szCs w:val="32"/>
          <w:vertAlign w:val="baseline"/>
          <w:lang w:val="en-US" w:eastAsia="zh-CN"/>
        </w:rPr>
        <w:t>）</w:t>
      </w:r>
    </w:p>
    <w:p w14:paraId="498F19A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Times New Roman"/>
          <w:b w:val="0"/>
          <w:bCs w:val="0"/>
          <w:color w:val="000000"/>
          <w:sz w:val="32"/>
          <w:szCs w:val="32"/>
          <w:vertAlign w:val="baseline"/>
          <w:lang w:val="en-US" w:eastAsia="zh-CN"/>
        </w:rPr>
      </w:pPr>
      <w:r>
        <w:rPr>
          <w:rFonts w:hint="default" w:ascii="黑体" w:hAnsi="黑体" w:eastAsia="黑体" w:cs="黑体"/>
          <w:b w:val="0"/>
          <w:bCs w:val="0"/>
          <w:color w:val="000000"/>
          <w:sz w:val="32"/>
          <w:szCs w:val="32"/>
          <w:lang w:val="en-US" w:eastAsia="zh-CN"/>
        </w:rPr>
        <w:t>九</w:t>
      </w:r>
      <w:r>
        <w:rPr>
          <w:rFonts w:hint="default" w:ascii="黑体" w:hAnsi="黑体" w:eastAsia="黑体" w:cs="黑体"/>
          <w:b w:val="0"/>
          <w:bCs w:val="0"/>
          <w:color w:val="000000"/>
          <w:sz w:val="32"/>
          <w:szCs w:val="32"/>
          <w:lang w:eastAsia="zh-CN"/>
        </w:rPr>
        <w:t>、提升“工会妈妈小屋”规范化水平。</w:t>
      </w:r>
      <w:r>
        <w:rPr>
          <w:rFonts w:hint="default" w:ascii="仿宋_GB2312" w:hAnsi="仿宋_GB2312" w:eastAsia="仿宋_GB2312" w:cs="Times New Roman"/>
          <w:b w:val="0"/>
          <w:bCs w:val="0"/>
          <w:color w:val="000000"/>
          <w:sz w:val="32"/>
          <w:szCs w:val="32"/>
          <w:vertAlign w:val="baseline"/>
          <w:lang w:val="en-US" w:eastAsia="zh-CN"/>
        </w:rPr>
        <w:t>进一步扩大“工会妈妈小屋”覆盖面，做优“工会妈妈小屋”一屋多用的运行模式。广泛发动开展“工助未来”职工子女托管班工作，切实增强女职工的归属感、安全感、获得感。</w:t>
      </w:r>
      <w:r>
        <w:rPr>
          <w:rFonts w:hint="eastAsia" w:ascii="仿宋_GB2312" w:hAnsi="仿宋_GB2312" w:eastAsia="仿宋_GB2312" w:cs="Times New Roman"/>
          <w:b w:val="0"/>
          <w:bCs w:val="0"/>
          <w:color w:val="000000"/>
          <w:sz w:val="32"/>
          <w:szCs w:val="32"/>
          <w:vertAlign w:val="baseline"/>
          <w:lang w:val="en-US" w:eastAsia="zh-CN"/>
        </w:rPr>
        <w:t>（牵头</w:t>
      </w:r>
      <w:r>
        <w:rPr>
          <w:rFonts w:hint="default" w:ascii="仿宋_GB2312" w:hAnsi="仿宋_GB2312" w:eastAsia="仿宋_GB2312" w:cs="Times New Roman"/>
          <w:b w:val="0"/>
          <w:bCs w:val="0"/>
          <w:color w:val="000000"/>
          <w:sz w:val="32"/>
          <w:szCs w:val="32"/>
          <w:vertAlign w:val="baseline"/>
          <w:lang w:val="en-US" w:eastAsia="zh-CN"/>
        </w:rPr>
        <w:t>单位：县总工会</w:t>
      </w:r>
      <w:r>
        <w:rPr>
          <w:rFonts w:hint="eastAsia" w:ascii="仿宋_GB2312" w:hAnsi="仿宋_GB2312" w:eastAsia="仿宋_GB2312" w:cs="Times New Roman"/>
          <w:b w:val="0"/>
          <w:bCs w:val="0"/>
          <w:color w:val="000000"/>
          <w:sz w:val="32"/>
          <w:szCs w:val="32"/>
          <w:vertAlign w:val="baseline"/>
          <w:lang w:val="en-US" w:eastAsia="zh-CN"/>
        </w:rPr>
        <w:t>）</w:t>
      </w:r>
    </w:p>
    <w:p w14:paraId="09E0C2C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Times New Roman"/>
          <w:b w:val="0"/>
          <w:bCs w:val="0"/>
          <w:color w:val="000000"/>
          <w:sz w:val="32"/>
          <w:szCs w:val="32"/>
          <w:vertAlign w:val="baseline"/>
          <w:lang w:val="en-US" w:eastAsia="zh-CN"/>
        </w:rPr>
      </w:pPr>
      <w:r>
        <w:rPr>
          <w:rFonts w:hint="default" w:ascii="黑体" w:hAnsi="黑体" w:eastAsia="黑体" w:cs="黑体"/>
          <w:b w:val="0"/>
          <w:bCs w:val="0"/>
          <w:color w:val="000000"/>
          <w:sz w:val="32"/>
          <w:szCs w:val="32"/>
          <w:lang w:val="en-US" w:eastAsia="zh-CN"/>
        </w:rPr>
        <w:t>十、开展全民艺术普及公益培训。</w:t>
      </w:r>
      <w:r>
        <w:rPr>
          <w:rFonts w:hint="default" w:ascii="仿宋_GB2312" w:hAnsi="仿宋_GB2312" w:eastAsia="仿宋_GB2312" w:cs="Times New Roman"/>
          <w:b w:val="0"/>
          <w:bCs w:val="0"/>
          <w:color w:val="000000"/>
          <w:sz w:val="32"/>
          <w:szCs w:val="32"/>
          <w:vertAlign w:val="baseline"/>
          <w:lang w:val="en-US" w:eastAsia="zh-CN"/>
        </w:rPr>
        <w:t>面对社会广大妇女儿童艺术爱好者开展公益艺术培训，共开设音乐、美术、舞蹈、非遗等15个项目，进一步丰富妇女儿童精神文化生活。</w:t>
      </w:r>
      <w:r>
        <w:rPr>
          <w:rFonts w:hint="eastAsia" w:ascii="仿宋_GB2312" w:hAnsi="仿宋_GB2312" w:eastAsia="仿宋_GB2312" w:cs="Times New Roman"/>
          <w:b w:val="0"/>
          <w:bCs w:val="0"/>
          <w:color w:val="000000"/>
          <w:sz w:val="32"/>
          <w:szCs w:val="32"/>
          <w:vertAlign w:val="baseline"/>
          <w:lang w:val="en-US" w:eastAsia="zh-CN"/>
        </w:rPr>
        <w:t>（牵头</w:t>
      </w:r>
      <w:r>
        <w:rPr>
          <w:rFonts w:hint="default" w:ascii="仿宋_GB2312" w:hAnsi="仿宋_GB2312" w:eastAsia="仿宋_GB2312" w:cs="Times New Roman"/>
          <w:b w:val="0"/>
          <w:bCs w:val="0"/>
          <w:color w:val="000000"/>
          <w:sz w:val="32"/>
          <w:szCs w:val="32"/>
          <w:vertAlign w:val="baseline"/>
          <w:lang w:val="en-US" w:eastAsia="zh-CN"/>
        </w:rPr>
        <w:t>单位：县文旅局</w:t>
      </w:r>
      <w:r>
        <w:rPr>
          <w:rFonts w:hint="eastAsia" w:ascii="仿宋_GB2312" w:hAnsi="仿宋_GB2312" w:eastAsia="仿宋_GB2312" w:cs="Times New Roman"/>
          <w:b w:val="0"/>
          <w:bCs w:val="0"/>
          <w:color w:val="000000"/>
          <w:sz w:val="32"/>
          <w:szCs w:val="32"/>
          <w:vertAlign w:val="baseline"/>
          <w:lang w:val="en-US" w:eastAsia="zh-CN"/>
        </w:rPr>
        <w:t>）</w:t>
      </w:r>
    </w:p>
    <w:p w14:paraId="005D031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Times New Roman"/>
          <w:b w:val="0"/>
          <w:bCs w:val="0"/>
          <w:color w:val="000000"/>
          <w:sz w:val="32"/>
          <w:szCs w:val="32"/>
          <w:vertAlign w:val="baseline"/>
          <w:lang w:val="en-US" w:eastAsia="zh-CN"/>
        </w:rPr>
      </w:pPr>
      <w:r>
        <w:rPr>
          <w:rFonts w:hint="default" w:ascii="仿宋_GB2312" w:hAnsi="仿宋_GB2312" w:eastAsia="仿宋_GB2312" w:cs="Times New Roman"/>
          <w:b w:val="0"/>
          <w:bCs w:val="0"/>
          <w:color w:val="000000"/>
          <w:sz w:val="32"/>
          <w:szCs w:val="32"/>
          <w:vertAlign w:val="baseline"/>
          <w:lang w:val="en-US" w:eastAsia="zh-CN"/>
        </w:rPr>
        <w:t>各级各有关部门和单位要高度重视妇女儿童工作，建立健全为妇女儿童办实事工作机制，积极提供服务，优化妇女儿童发展环境，推动公共政策、公共项目、公共服务向妇女儿童倾斜，不断增强妇女儿童的获得感、幸福感、安全感。各牵头单位要落实主体责任，主动担当作为，推进实事落实到位；各责任单位要严格按照责任分工，密切协作配合，共同把实事办实办好；县妇联要充分发挥牵头揽总作用，加强协调督导，及时研究解决实事推进过程中遇到的困难和问题，确保全面完成目标任务。</w:t>
      </w:r>
    </w:p>
    <w:p w14:paraId="33131C84">
      <w:pPr>
        <w:pStyle w:val="2"/>
        <w:ind w:left="0" w:leftChars="0" w:firstLine="0" w:firstLineChars="0"/>
        <w:rPr>
          <w:rFonts w:hint="eastAsia"/>
          <w:lang w:val="en-US" w:eastAsia="zh-CN"/>
        </w:rPr>
      </w:pPr>
    </w:p>
    <w:p w14:paraId="452525C3">
      <w:pPr>
        <w:keepNext w:val="0"/>
        <w:keepLines w:val="0"/>
        <w:pageBreakBefore w:val="0"/>
        <w:widowControl w:val="0"/>
        <w:kinsoku/>
        <w:wordWrap/>
        <w:overflowPunct/>
        <w:topLinePunct w:val="0"/>
        <w:autoSpaceDE/>
        <w:autoSpaceDN/>
        <w:bidi w:val="0"/>
        <w:adjustRightInd/>
        <w:snapToGrid/>
        <w:spacing w:line="560" w:lineRule="exact"/>
        <w:ind w:right="-59" w:rightChars="0"/>
        <w:jc w:val="left"/>
        <w:textAlignment w:val="auto"/>
        <w:outlineLvl w:val="9"/>
        <w:rPr>
          <w:rFonts w:hint="default"/>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-35560</wp:posOffset>
                </wp:positionH>
                <wp:positionV relativeFrom="paragraph">
                  <wp:posOffset>407035</wp:posOffset>
                </wp:positionV>
                <wp:extent cx="561594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8pt;margin-top:32.05pt;height:0pt;width:442.2pt;z-index:251663360;mso-width-relative:page;mso-height-relative:page;" filled="f" stroked="t" coordsize="21600,21600" o:gfxdata="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KVRnjWAAAACAEAAA8AAAAAAAAAAQAgAAAAIgAAAGRycy9kb3ducmV2LnhtbFBLAQIU&#10;ABQAAAAIAIdO4kBFixnX9QEAAOEDAAAOAAAAAAAAAAEAIAAAACUBAABkcnMvZTJvRG9jLnhtbFBL&#10;BQYAAAAABgAGAFkBAACMBQ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36195</wp:posOffset>
                </wp:positionV>
                <wp:extent cx="5615940" cy="0"/>
                <wp:effectExtent l="0" t="4445" r="0" b="5080"/>
                <wp:wrapNone/>
                <wp:docPr id="11" name="直接连接符 11"/>
                <wp:cNvGraphicFramePr/>
                <a:graphic xmlns:a="http://schemas.openxmlformats.org/drawingml/2006/main">
                  <a:graphicData uri="http://schemas.microsoft.com/office/word/2010/wordprocessingShape">
                    <wps:wsp>
                      <wps:cNvCnPr/>
                      <wps:spPr>
                        <a:xfrm>
                          <a:off x="1061085" y="9033510"/>
                          <a:ext cx="561594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8pt;margin-top:2.85pt;height:0pt;width:442.2pt;z-index:251662336;mso-width-relative:page;mso-height-relative:page;" filled="f" stroked="t" coordsize="21600,21600" o:gfxdata="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JhSStQAAAAGAQAADwAAAAAAAAABACAAAAAiAAAAZHJzL2Rv&#10;d25yZXYueG1sUEsBAhQAFAAAAAgAh07iQLO9Ny0FAgAA7wMAAA4AAAAAAAAAAQAgAAAAIwEAAGRy&#10;cy9lMm9Eb2MueG1sUEsFBgAAAAAGAAYAWQEAAJo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郯城县人民政府办公室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p w14:paraId="398B13FC">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14:paraId="5F8090E6">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14:paraId="29A7D36E">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14:paraId="64B952B3">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14:paraId="4DF14C2B">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14:paraId="3E6060AE">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14:paraId="5B96570C">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14:paraId="63BCED58">
      <w:pPr>
        <w:keepNext w:val="0"/>
        <w:keepLines w:val="0"/>
        <w:pageBreakBefore w:val="0"/>
        <w:widowControl/>
        <w:kinsoku/>
        <w:wordWrap/>
        <w:overflowPunct/>
        <w:topLinePunct w:val="0"/>
        <w:autoSpaceDE/>
        <w:autoSpaceDN/>
        <w:bidi w:val="0"/>
        <w:adjustRightInd/>
        <w:snapToGrid/>
        <w:spacing w:beforeLines="0" w:afterLines="0" w:line="7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14:paraId="46506CC8">
      <w:pPr>
        <w:pStyle w:val="8"/>
        <w:spacing w:before="41"/>
        <w:ind w:left="293" w:right="36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郯政办字〔202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w:t>
      </w:r>
    </w:p>
    <w:p w14:paraId="7F017980">
      <w:pPr>
        <w:pStyle w:val="8"/>
        <w:spacing w:before="6"/>
        <w:ind w:left="0"/>
        <w:rPr>
          <w:rFonts w:ascii="文星仿宋"/>
          <w:sz w:val="29"/>
        </w:rPr>
      </w:pPr>
    </w:p>
    <w:p w14:paraId="7130BB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郯城县人民政府办公室</w:t>
      </w:r>
    </w:p>
    <w:p w14:paraId="08F0EB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年郯城县政务公开工作要点的</w:t>
      </w:r>
    </w:p>
    <w:p w14:paraId="74CC70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p w14:paraId="0B5E270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79451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各乡镇人民政府、郯城街道办事处，县直有关部门、单位，郯城经济开发区管委会，新村银杏产业开发区管委会：</w:t>
      </w:r>
    </w:p>
    <w:p w14:paraId="61995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年郯城县政务公开工作要点》已经县政府同意，现印发给你们，请结合实际认真抓好贯彻落实。</w:t>
      </w:r>
    </w:p>
    <w:p w14:paraId="74642CF9">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rPr>
      </w:pPr>
    </w:p>
    <w:p w14:paraId="34ED1DA7">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郯城县人民政府办公室</w:t>
      </w:r>
    </w:p>
    <w:p w14:paraId="5C91981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14:paraId="0AB94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5D0BBC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年郯城县政务公开工作要点</w:t>
      </w:r>
    </w:p>
    <w:p w14:paraId="6C524E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7B64A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为贯彻落实中央、</w:t>
      </w:r>
      <w:r>
        <w:rPr>
          <w:rFonts w:hint="eastAsia" w:ascii="仿宋_GB2312" w:hAnsi="仿宋_GB2312" w:eastAsia="仿宋_GB2312" w:cs="仿宋_GB2312"/>
          <w:sz w:val="32"/>
          <w:szCs w:val="32"/>
          <w:lang w:val="en-US" w:eastAsia="zh-CN"/>
        </w:rPr>
        <w:t>省、市、县</w:t>
      </w:r>
      <w:r>
        <w:rPr>
          <w:rFonts w:hint="eastAsia" w:ascii="仿宋_GB2312" w:hAnsi="仿宋_GB2312" w:eastAsia="仿宋_GB2312" w:cs="仿宋_GB2312"/>
          <w:sz w:val="32"/>
          <w:szCs w:val="32"/>
        </w:rPr>
        <w:t>关于做好新时代政务公开工作的决策部署，以更高质量公开服务保障全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中心工作，助推经济社会高质量发展，制定本工作要点。</w:t>
      </w:r>
    </w:p>
    <w:p w14:paraId="35B087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一、推进政务阳光透明</w:t>
      </w:r>
    </w:p>
    <w:p w14:paraId="71CF1B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（一）围绕高质量发展公开政府信息。</w:t>
      </w:r>
      <w:r>
        <w:rPr>
          <w:rFonts w:hint="eastAsia" w:ascii="仿宋_GB2312" w:hAnsi="仿宋_GB2312" w:eastAsia="仿宋_GB2312" w:cs="仿宋_GB2312"/>
          <w:sz w:val="32"/>
          <w:szCs w:val="32"/>
        </w:rPr>
        <w:t>做好工业强县、城建突破、乡村振兴等方面的信息公开，及时发布经济社会发展、扩大内需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优化供给等相关政策信息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消费品以旧换新、服务消费、文化旅游消费、健康消费、消费环境等方面配套措施的宣传推广，及时公开落实成效和典型经验。持续做好保障性住房、老旧小区改造等领域信息公开。规范发布政务服务事项目录、办事指南和中介服务事项清单。</w:t>
      </w:r>
    </w:p>
    <w:p w14:paraId="5276BE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（二）围绕保障和改善民生公开政府信息</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加大就业帮扶、职业技能培训、社会保险待遇等信息推送力度，分类归集发布重点产业企业用工需求。推进学前教育、义务教育、职业教育等方面信息公开，助力教育优质均衡发展。加强养老服务扶持政策和养老机构监管信息公开。精准</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异地就医报销政策宣传，做好城市医疗集团和紧密型县域医共体建设信息公开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持续推进社会救助领域信息公开，及时</w:t>
      </w:r>
      <w:r>
        <w:rPr>
          <w:rFonts w:hint="eastAsia" w:ascii="仿宋_GB2312" w:hAnsi="仿宋_GB2312" w:eastAsia="仿宋_GB2312" w:cs="仿宋_GB2312"/>
          <w:sz w:val="32"/>
          <w:szCs w:val="32"/>
          <w:lang w:val="en-US" w:eastAsia="zh-CN"/>
        </w:rPr>
        <w:t>发布</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城乡低保、特困人员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临时救助数量和资金支出情况</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lang w:val="en-US" w:eastAsia="zh-CN"/>
        </w:rPr>
        <w:t>卫生健康领域</w:t>
      </w:r>
      <w:r>
        <w:rPr>
          <w:rFonts w:hint="eastAsia" w:ascii="仿宋_GB2312" w:hAnsi="仿宋_GB2312" w:eastAsia="仿宋_GB2312" w:cs="仿宋_GB2312"/>
          <w:sz w:val="32"/>
          <w:szCs w:val="32"/>
          <w:lang w:eastAsia="zh-CN"/>
        </w:rPr>
        <w:t>信息公开</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w:t>
      </w:r>
    </w:p>
    <w:p w14:paraId="093D2D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（三）围绕政府自身建设公开政府信息。</w:t>
      </w:r>
      <w:r>
        <w:rPr>
          <w:rFonts w:hint="eastAsia" w:ascii="仿宋_GB2312" w:hAnsi="仿宋_GB2312" w:eastAsia="仿宋_GB2312" w:cs="仿宋_GB2312"/>
          <w:sz w:val="32"/>
          <w:szCs w:val="32"/>
        </w:rPr>
        <w:t>持续做好权责清单依法公开和动态更新。依法向社会公布重大行政决策事项目录、重大行政决策公众意见采纳情况、决策结果和执行情况等信息。依法规范公开预决算、政府采购等财政信息。规范招投标信息公开，加大招标公告、中标合同、履约信息公开力度</w:t>
      </w:r>
      <w:r>
        <w:rPr>
          <w:rFonts w:hint="eastAsia" w:ascii="仿宋_GB2312" w:hAnsi="仿宋_GB2312" w:eastAsia="仿宋_GB2312" w:cs="仿宋_GB2312"/>
          <w:sz w:val="32"/>
          <w:szCs w:val="32"/>
          <w:lang w:eastAsia="zh-CN"/>
        </w:rPr>
        <w:t>。及时公开</w:t>
      </w:r>
      <w:r>
        <w:rPr>
          <w:rFonts w:hint="eastAsia" w:ascii="仿宋_GB2312" w:hAnsi="仿宋_GB2312" w:eastAsia="仿宋_GB2312" w:cs="仿宋_GB2312"/>
          <w:sz w:val="32"/>
          <w:szCs w:val="32"/>
          <w:lang w:val="en-US" w:eastAsia="zh-CN"/>
        </w:rPr>
        <w:t>县政府</w:t>
      </w:r>
      <w:r>
        <w:rPr>
          <w:rFonts w:hint="eastAsia" w:ascii="仿宋_GB2312" w:hAnsi="仿宋_GB2312" w:eastAsia="仿宋_GB2312" w:cs="仿宋_GB2312"/>
          <w:sz w:val="32"/>
          <w:szCs w:val="32"/>
          <w:lang w:eastAsia="zh-CN"/>
        </w:rPr>
        <w:t>执行的行政事业性收费和政府性基金目录清单。严格执行涉企行政检查信息公开有关要求，按照规定公布行政检查事项、行政检查计划等内容。</w:t>
      </w:r>
    </w:p>
    <w:p w14:paraId="333600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二、提升政策服务质效</w:t>
      </w:r>
    </w:p>
    <w:p w14:paraId="39A1E8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（四）有序推进公众参与</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健全政策制定公众参与机制，通过政府开放月、机关开放日、听证座谈、实地走访、民意调查等形式面对面听取企业群众意见建议，增强政策有效性。在政策草案形成后，优先通过</w:t>
      </w:r>
      <w:r>
        <w:rPr>
          <w:rFonts w:hint="eastAsia" w:ascii="仿宋_GB2312" w:hAnsi="仿宋_GB2312" w:eastAsia="仿宋_GB2312" w:cs="仿宋_GB2312"/>
          <w:sz w:val="32"/>
          <w:szCs w:val="32"/>
          <w:lang w:val="en-US" w:eastAsia="zh-CN"/>
        </w:rPr>
        <w:t>县政府网站</w:t>
      </w:r>
      <w:r>
        <w:rPr>
          <w:rFonts w:hint="default" w:ascii="仿宋_GB2312" w:hAnsi="仿宋_GB2312" w:eastAsia="仿宋_GB2312" w:cs="仿宋_GB2312"/>
          <w:sz w:val="32"/>
          <w:szCs w:val="32"/>
          <w:lang w:val="en-US" w:eastAsia="zh-CN"/>
        </w:rPr>
        <w:t>意见征集栏目向社会公开征集意见，并充分利用</w:t>
      </w:r>
      <w:r>
        <w:rPr>
          <w:rFonts w:hint="eastAsia" w:ascii="仿宋_GB2312" w:hAnsi="仿宋_GB2312" w:eastAsia="仿宋_GB2312" w:cs="仿宋_GB2312"/>
          <w:sz w:val="32"/>
          <w:szCs w:val="32"/>
          <w:lang w:val="en-US" w:eastAsia="zh-CN"/>
        </w:rPr>
        <w:t>微信公众号、抖音视频号等</w:t>
      </w:r>
      <w:r>
        <w:rPr>
          <w:rFonts w:hint="default" w:ascii="仿宋_GB2312" w:hAnsi="仿宋_GB2312" w:eastAsia="仿宋_GB2312" w:cs="仿宋_GB2312"/>
          <w:sz w:val="32"/>
          <w:szCs w:val="32"/>
          <w:lang w:val="en-US" w:eastAsia="zh-CN"/>
        </w:rPr>
        <w:t>政务新媒体，扩大政策意见征集的知晓面和参与度。</w:t>
      </w:r>
    </w:p>
    <w:p w14:paraId="4D45D8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（五）着力加强发布解读</w:t>
      </w:r>
      <w:r>
        <w:rPr>
          <w:rFonts w:hint="eastAsia" w:ascii="仿宋_GB2312" w:hAnsi="仿宋_GB2312" w:eastAsia="仿宋_GB2312" w:cs="仿宋_GB2312"/>
          <w:sz w:val="32"/>
          <w:szCs w:val="32"/>
          <w:lang w:val="en-US" w:eastAsia="zh-CN"/>
        </w:rPr>
        <w:t>。将县政府网站作为政策发布的第一平台，按照政策文件库专题管理要求集中发布政策，并保持动态更新。严格落实政策解读“三同步”原则，通过简明问答、一图读懂、视频音频等群众企业喜闻乐见的方式，开展目标任务、主要内容、创新特点、执行标准、注意事项、新旧政策差异等解读，精准释放政策信号。</w:t>
      </w:r>
    </w:p>
    <w:p w14:paraId="60F31A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三、打造智能集约平台</w:t>
      </w:r>
    </w:p>
    <w:p w14:paraId="4E2A11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（六）优化政务公开平台</w:t>
      </w:r>
      <w:r>
        <w:rPr>
          <w:rFonts w:hint="eastAsia" w:ascii="仿宋_GB2312" w:hAnsi="仿宋_GB2312" w:eastAsia="仿宋_GB2312" w:cs="仿宋_GB2312"/>
          <w:sz w:val="32"/>
          <w:szCs w:val="32"/>
          <w:lang w:val="en-US" w:eastAsia="zh-CN"/>
        </w:rPr>
        <w:t>。用好省政府监管平台，完善开设、关停、备案、检查制度，推动政府网站和政务新媒体集约建设、规范管理。深化政务新媒体“瘦身提质”，集中力量做大做强主账号，防治“指尖上的形式主义”。强化日常监管和季度检查，做好“我为政府网站找错”留言办理、重要信息转发等工作。加强全市一体化依申请公开管理平台培训与使用，实现依申请公开事项全程网办、跟踪和监督。</w:t>
      </w:r>
    </w:p>
    <w:p w14:paraId="5BCC84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（七）升级政务公开专区。</w:t>
      </w:r>
      <w:r>
        <w:rPr>
          <w:rFonts w:hint="eastAsia" w:ascii="仿宋_GB2312" w:hAnsi="仿宋_GB2312" w:eastAsia="仿宋_GB2312" w:cs="仿宋_GB2312"/>
          <w:sz w:val="32"/>
          <w:szCs w:val="32"/>
          <w:lang w:val="en-US" w:eastAsia="zh-CN"/>
        </w:rPr>
        <w:t>规范</w:t>
      </w:r>
      <w:r>
        <w:rPr>
          <w:rFonts w:hint="default" w:ascii="仿宋_GB2312" w:hAnsi="仿宋_GB2312" w:eastAsia="仿宋_GB2312" w:cs="仿宋_GB2312"/>
          <w:sz w:val="32"/>
          <w:szCs w:val="32"/>
          <w:lang w:val="en-US" w:eastAsia="zh-CN"/>
        </w:rPr>
        <w:t>政务服务大厅</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便民服务中心政务公开专区</w:t>
      </w:r>
      <w:r>
        <w:rPr>
          <w:rFonts w:hint="eastAsia" w:ascii="仿宋_GB2312" w:hAnsi="仿宋_GB2312" w:eastAsia="仿宋_GB2312" w:cs="仿宋_GB2312"/>
          <w:sz w:val="32"/>
          <w:szCs w:val="32"/>
          <w:lang w:val="en-US" w:eastAsia="zh-CN"/>
        </w:rPr>
        <w:t>建设</w:t>
      </w:r>
      <w:r>
        <w:rPr>
          <w:rFonts w:hint="default" w:ascii="仿宋_GB2312" w:hAnsi="仿宋_GB2312" w:eastAsia="仿宋_GB2312" w:cs="仿宋_GB2312"/>
          <w:sz w:val="32"/>
          <w:szCs w:val="32"/>
          <w:lang w:val="en-US" w:eastAsia="zh-CN"/>
        </w:rPr>
        <w:t>，优化提升</w:t>
      </w:r>
      <w:r>
        <w:rPr>
          <w:rFonts w:hint="eastAsia" w:ascii="仿宋_GB2312" w:hAnsi="仿宋_GB2312" w:eastAsia="仿宋_GB2312" w:cs="仿宋_GB2312"/>
          <w:sz w:val="32"/>
          <w:szCs w:val="32"/>
          <w:lang w:val="en-US" w:eastAsia="zh-CN"/>
        </w:rPr>
        <w:t>政策资料查阅、</w:t>
      </w:r>
      <w:r>
        <w:rPr>
          <w:rFonts w:hint="default" w:ascii="仿宋_GB2312" w:hAnsi="仿宋_GB2312" w:eastAsia="仿宋_GB2312" w:cs="仿宋_GB2312"/>
          <w:sz w:val="32"/>
          <w:szCs w:val="32"/>
          <w:lang w:val="en-US" w:eastAsia="zh-CN"/>
        </w:rPr>
        <w:t>政府信息查询、信息公开申请等功能。完善政务公开专区配套管理制度和运行机制，积极开展政策现场解读、综合政策咨询等活动，实现公开与服务深度融合。立足本地实际，探索推动政务公开专区建设向大型商超、旅游景区、综合医院等公共场所延伸</w:t>
      </w:r>
      <w:r>
        <w:rPr>
          <w:rFonts w:hint="eastAsia" w:ascii="仿宋_GB2312" w:hAnsi="仿宋_GB2312" w:eastAsia="仿宋_GB2312" w:cs="仿宋_GB2312"/>
          <w:sz w:val="32"/>
          <w:szCs w:val="32"/>
          <w:lang w:val="en-US" w:eastAsia="zh-CN"/>
        </w:rPr>
        <w:t>。</w:t>
      </w:r>
    </w:p>
    <w:p w14:paraId="36C45C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（八）争取省市专项试点。</w:t>
      </w:r>
      <w:r>
        <w:rPr>
          <w:rFonts w:hint="eastAsia" w:ascii="仿宋_GB2312" w:hAnsi="仿宋_GB2312" w:eastAsia="仿宋_GB2312" w:cs="仿宋_GB2312"/>
          <w:sz w:val="32"/>
          <w:szCs w:val="32"/>
          <w:lang w:val="en-US" w:eastAsia="zh-CN"/>
        </w:rPr>
        <w:t>积极争取</w:t>
      </w:r>
      <w:r>
        <w:rPr>
          <w:rFonts w:hint="default" w:ascii="仿宋_GB2312" w:hAnsi="仿宋_GB2312" w:eastAsia="仿宋_GB2312" w:cs="仿宋_GB2312"/>
          <w:sz w:val="32"/>
          <w:szCs w:val="32"/>
          <w:lang w:val="en-US" w:eastAsia="zh-CN"/>
        </w:rPr>
        <w:t>已公开信息管理规范化试点，明确不同类型信息在政府网站、政务新媒体等渠道的公开时限。</w:t>
      </w:r>
      <w:r>
        <w:rPr>
          <w:rFonts w:hint="eastAsia" w:ascii="仿宋_GB2312" w:hAnsi="仿宋_GB2312" w:eastAsia="仿宋_GB2312" w:cs="仿宋_GB2312"/>
          <w:sz w:val="32"/>
          <w:szCs w:val="32"/>
          <w:lang w:val="en-US" w:eastAsia="zh-CN"/>
        </w:rPr>
        <w:t>争取</w:t>
      </w:r>
      <w:r>
        <w:rPr>
          <w:rFonts w:hint="default" w:ascii="仿宋_GB2312" w:hAnsi="仿宋_GB2312" w:eastAsia="仿宋_GB2312" w:cs="仿宋_GB2312"/>
          <w:sz w:val="32"/>
          <w:szCs w:val="32"/>
          <w:lang w:val="en-US" w:eastAsia="zh-CN"/>
        </w:rPr>
        <w:t>开展政府公报数字化转型试点，开通网络版政府公报订阅渠道，合理减少纸质版政府公报印发数量。完善主动公开事项目录，逐项明确公开主体、内容、时限、方式、渠道、责任等要素，</w:t>
      </w:r>
      <w:r>
        <w:rPr>
          <w:rFonts w:hint="eastAsia" w:ascii="仿宋_GB2312" w:hAnsi="仿宋_GB2312" w:eastAsia="仿宋_GB2312" w:cs="仿宋_GB2312"/>
          <w:sz w:val="32"/>
          <w:szCs w:val="32"/>
          <w:lang w:val="en-US" w:eastAsia="zh-CN"/>
        </w:rPr>
        <w:t>并</w:t>
      </w:r>
      <w:r>
        <w:rPr>
          <w:rFonts w:hint="default" w:ascii="仿宋_GB2312" w:hAnsi="仿宋_GB2312" w:eastAsia="仿宋_GB2312" w:cs="仿宋_GB2312"/>
          <w:sz w:val="32"/>
          <w:szCs w:val="32"/>
          <w:lang w:val="en-US" w:eastAsia="zh-CN"/>
        </w:rPr>
        <w:t>对照目录</w:t>
      </w:r>
      <w:r>
        <w:rPr>
          <w:rFonts w:hint="eastAsia" w:ascii="仿宋_GB2312" w:hAnsi="仿宋_GB2312" w:eastAsia="仿宋_GB2312" w:cs="仿宋_GB2312"/>
          <w:sz w:val="32"/>
          <w:szCs w:val="32"/>
          <w:lang w:val="en-US" w:eastAsia="zh-CN"/>
        </w:rPr>
        <w:t>内容</w:t>
      </w:r>
      <w:r>
        <w:rPr>
          <w:rFonts w:hint="default" w:ascii="仿宋_GB2312" w:hAnsi="仿宋_GB2312" w:eastAsia="仿宋_GB2312" w:cs="仿宋_GB2312"/>
          <w:sz w:val="32"/>
          <w:szCs w:val="32"/>
          <w:lang w:val="en-US" w:eastAsia="zh-CN"/>
        </w:rPr>
        <w:t>调整完善政府网站法定主动公开栏目。</w:t>
      </w:r>
    </w:p>
    <w:p w14:paraId="5B9992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四、加强政务公开保障</w:t>
      </w:r>
    </w:p>
    <w:p w14:paraId="06C8ED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（九）规范公开程序。</w:t>
      </w:r>
      <w:r>
        <w:rPr>
          <w:rFonts w:hint="eastAsia" w:ascii="仿宋_GB2312" w:hAnsi="仿宋_GB2312" w:eastAsia="仿宋_GB2312" w:cs="仿宋_GB2312"/>
          <w:sz w:val="32"/>
          <w:szCs w:val="32"/>
          <w:lang w:val="en-US" w:eastAsia="zh-CN"/>
        </w:rPr>
        <w:t>坚持</w:t>
      </w:r>
      <w:r>
        <w:rPr>
          <w:rFonts w:hint="eastAsia" w:ascii="仿宋_GB2312" w:hAnsi="仿宋_GB2312" w:eastAsia="仿宋_GB2312" w:cs="仿宋_GB2312"/>
          <w:sz w:val="32"/>
          <w:szCs w:val="32"/>
        </w:rPr>
        <w:t>“公开为常态、不公开为例外”原则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严格执行公文公开属性审查和发布审查程序，确保公开内容合法合规、精准规范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完善政府信息公开保密审查制度，依法依规</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拟公开信息保密审查，</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防范数据汇聚引发泄密风险。建立已公开信息安全巡查机制，每季度集中清理一次不当公开的各类信息。</w:t>
      </w:r>
      <w:r>
        <w:rPr>
          <w:rFonts w:hint="eastAsia" w:ascii="仿宋_GB2312" w:hAnsi="仿宋_GB2312" w:eastAsia="仿宋_GB2312" w:cs="仿宋_GB2312"/>
          <w:sz w:val="32"/>
          <w:szCs w:val="32"/>
          <w:lang w:val="en-US" w:eastAsia="zh-CN"/>
        </w:rPr>
        <w:t>建强依申请公开专员队伍，</w:t>
      </w:r>
      <w:r>
        <w:rPr>
          <w:rFonts w:hint="eastAsia" w:ascii="仿宋_GB2312" w:hAnsi="仿宋_GB2312" w:eastAsia="仿宋_GB2312" w:cs="仿宋_GB2312"/>
          <w:sz w:val="32"/>
          <w:szCs w:val="32"/>
        </w:rPr>
        <w:t>组织专题业务培训，进一步提高全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政府信息依申请公开办理水平。</w:t>
      </w:r>
    </w:p>
    <w:p w14:paraId="332B6D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（十）强化培训监督。</w:t>
      </w:r>
      <w:r>
        <w:rPr>
          <w:rFonts w:hint="eastAsia" w:ascii="仿宋_GB2312" w:hAnsi="仿宋_GB2312" w:eastAsia="仿宋_GB2312" w:cs="仿宋_GB2312"/>
          <w:sz w:val="32"/>
          <w:szCs w:val="32"/>
          <w:lang w:val="en-US" w:eastAsia="zh-CN"/>
        </w:rPr>
        <w:t>依据全省政务公开和公共企事业单位信息公开效能监测体系，组织开展主动公开、依申请公开、政策解读、平台建设等专题培训指导。对照新时代政务公开工作部署要求，主动适应信息化发展趋势，有序开展配套制度规范清理和制定、修订工作。继续将政务公开纳入全县高质量发展综合绩效考核体系，完善考核指标、提升考核精度，确保以考促干、以考促改、以考问效。</w:t>
      </w:r>
    </w:p>
    <w:p w14:paraId="011EFE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val="en-US" w:eastAsia="zh-CN"/>
        </w:rPr>
      </w:pPr>
    </w:p>
    <w:p w14:paraId="6FF632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4529BA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111EE9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3C7249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62B3F6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39DF50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42F670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00B4E7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3C8890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391624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31A7B7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4C4CD7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50EA46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701289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37D0B9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759A94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4327A8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5941F2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4CE0C3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539CD2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0DDE98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69928C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66BB60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15740E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32C151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16BFA8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06626B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55A25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51D871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14:paraId="28340BBA">
      <w:pPr>
        <w:keepNext w:val="0"/>
        <w:keepLines w:val="0"/>
        <w:pageBreakBefore w:val="0"/>
        <w:kinsoku/>
        <w:wordWrap/>
        <w:overflowPunct w:val="0"/>
        <w:topLinePunct w:val="0"/>
        <w:autoSpaceDE/>
        <w:autoSpaceDN/>
        <w:bidi w:val="0"/>
        <w:adjustRightInd/>
        <w:snapToGrid/>
        <w:spacing w:line="600" w:lineRule="exact"/>
        <w:jc w:val="both"/>
        <w:textAlignment w:val="auto"/>
        <w:rPr>
          <w:rFonts w:hint="eastAsia"/>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5408" behindDoc="0" locked="0" layoutInCell="1" allowOverlap="1">
                <wp:simplePos x="0" y="0"/>
                <wp:positionH relativeFrom="column">
                  <wp:posOffset>-35560</wp:posOffset>
                </wp:positionH>
                <wp:positionV relativeFrom="paragraph">
                  <wp:posOffset>407035</wp:posOffset>
                </wp:positionV>
                <wp:extent cx="561594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61594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8pt;margin-top:32.05pt;height:0pt;width:442.2pt;z-index:251665408;mso-width-relative:page;mso-height-relative:page;" filled="f" stroked="t" coordsize="21600,21600" o:gfxdata="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lUZ41gAAAAgBAAAPAAAAAAAAAAEAIAAAACIAAABkcnMvZG93bnJldi54bWxQSwEC&#10;FAAUAAAACACHTuJAnfSWSPYBAADjAwAADgAAAAAAAAABACAAAAAlAQAAZHJzL2Uyb0RvYy54bWxQ&#10;SwUGAAAAAAYABgBZAQAAjQU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-35560</wp:posOffset>
                </wp:positionH>
                <wp:positionV relativeFrom="paragraph">
                  <wp:posOffset>36195</wp:posOffset>
                </wp:positionV>
                <wp:extent cx="5615940" cy="0"/>
                <wp:effectExtent l="0" t="4445" r="0" b="5080"/>
                <wp:wrapNone/>
                <wp:docPr id="13" name="直接连接符 13"/>
                <wp:cNvGraphicFramePr/>
                <a:graphic xmlns:a="http://schemas.openxmlformats.org/drawingml/2006/main">
                  <a:graphicData uri="http://schemas.microsoft.com/office/word/2010/wordprocessingShape">
                    <wps:wsp>
                      <wps:cNvCnPr/>
                      <wps:spPr>
                        <a:xfrm>
                          <a:off x="1061085" y="9033510"/>
                          <a:ext cx="561594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8pt;margin-top:2.85pt;height:0pt;width:442.2pt;z-index:251664384;mso-width-relative:page;mso-height-relative:page;" filled="f" stroked="t" coordsize="21600,21600" o:gfxdata="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iYUkrUAAAABgEAAA8AAAAAAAAAAQAgAAAAIgAAAGRycy9kb3du&#10;cmV2LnhtbFBLAQIUABQAAAAIAIdO4kCrKQ24AwIAAO8DAAAOAAAAAAAAAAEAIAAAACM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郯城县人民政府办公室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日印发</w:t>
      </w:r>
    </w:p>
    <w:sectPr>
      <w:footerReference r:id="rId9" w:type="default"/>
      <w:pgSz w:w="11906" w:h="16838"/>
      <w:pgMar w:top="1814" w:right="1587" w:bottom="1701" w:left="1587"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7714A6-8278-4FE5-946C-1716E0E28C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embedRegular r:id="rId2" w:fontKey="{2F037D3D-172D-4B51-8ABF-30C935E6416B}"/>
  </w:font>
  <w:font w:name="仿宋_GB2312">
    <w:panose1 w:val="02010609030101010101"/>
    <w:charset w:val="86"/>
    <w:family w:val="modern"/>
    <w:pitch w:val="default"/>
    <w:sig w:usb0="00000001" w:usb1="080E0000" w:usb2="00000000" w:usb3="00000000" w:csb0="00040000" w:csb1="00000000"/>
    <w:embedRegular r:id="rId3" w:fontKey="{F885BA5E-C479-4B0D-A9BB-CF1A7658EBEC}"/>
  </w:font>
  <w:font w:name="文星仿宋">
    <w:panose1 w:val="02010609000101010101"/>
    <w:charset w:val="86"/>
    <w:family w:val="modern"/>
    <w:pitch w:val="default"/>
    <w:sig w:usb0="00000001" w:usb1="080E0000" w:usb2="00000000" w:usb3="00000000" w:csb0="00040000" w:csb1="00000000"/>
    <w:embedRegular r:id="rId4" w:fontKey="{882DF684-53E2-43CB-B0BE-89F5A1367CAA}"/>
  </w:font>
  <w:font w:name="楷体_GB2312">
    <w:panose1 w:val="02010609030101010101"/>
    <w:charset w:val="86"/>
    <w:family w:val="modern"/>
    <w:pitch w:val="default"/>
    <w:sig w:usb0="00000001" w:usb1="080E0000" w:usb2="00000000" w:usb3="00000000" w:csb0="00040000" w:csb1="00000000"/>
    <w:embedRegular r:id="rId5" w:fontKey="{93300383-4403-47FD-956D-E69E139D07F2}"/>
  </w:font>
  <w:font w:name="仿宋">
    <w:panose1 w:val="02010609060101010101"/>
    <w:charset w:val="86"/>
    <w:family w:val="auto"/>
    <w:pitch w:val="default"/>
    <w:sig w:usb0="800002BF" w:usb1="38CF7CFA" w:usb2="00000016" w:usb3="00000000" w:csb0="00040001" w:csb1="00000000"/>
    <w:embedRegular r:id="rId6" w:fontKey="{A264444B-2F88-4BBB-A2B1-327AA96049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F1BCA">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486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136C1">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- 2 -</w:t>
    </w:r>
    <w:r>
      <w:fldChar w:fldCharType="end"/>
    </w:r>
  </w:p>
  <w:p w14:paraId="4075DE84">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3B4A">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CEA9C">
                          <w:pPr>
                            <w:pStyle w:val="1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3BCEA9C">
                    <w:pPr>
                      <w:pStyle w:val="1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D8EDD">
    <w:pPr>
      <w:pStyle w:val="1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MDQ1OGE0NTUxMGE3MGNjMDU3ZDY0ZDA2ZTEzMWEifQ=="/>
  </w:docVars>
  <w:rsids>
    <w:rsidRoot w:val="403951B7"/>
    <w:rsid w:val="009E5347"/>
    <w:rsid w:val="00C15936"/>
    <w:rsid w:val="012E184C"/>
    <w:rsid w:val="02A71DC2"/>
    <w:rsid w:val="036B2C8D"/>
    <w:rsid w:val="054F4E62"/>
    <w:rsid w:val="084F49D2"/>
    <w:rsid w:val="08AE694A"/>
    <w:rsid w:val="0C0D2B91"/>
    <w:rsid w:val="0C1D75DB"/>
    <w:rsid w:val="0C480432"/>
    <w:rsid w:val="0CA24B97"/>
    <w:rsid w:val="0CCA3EF2"/>
    <w:rsid w:val="0FC3352F"/>
    <w:rsid w:val="10945E1E"/>
    <w:rsid w:val="113F417A"/>
    <w:rsid w:val="12E34DC8"/>
    <w:rsid w:val="14A22264"/>
    <w:rsid w:val="15CF16A7"/>
    <w:rsid w:val="1B173EB2"/>
    <w:rsid w:val="1E280224"/>
    <w:rsid w:val="1F806329"/>
    <w:rsid w:val="1FB9725C"/>
    <w:rsid w:val="21017C02"/>
    <w:rsid w:val="21D92B67"/>
    <w:rsid w:val="244377F9"/>
    <w:rsid w:val="25162EBD"/>
    <w:rsid w:val="251B66B7"/>
    <w:rsid w:val="25A466AC"/>
    <w:rsid w:val="25AA5F2C"/>
    <w:rsid w:val="285753DD"/>
    <w:rsid w:val="296316E5"/>
    <w:rsid w:val="29AC2292"/>
    <w:rsid w:val="2AFC2AE6"/>
    <w:rsid w:val="2BE023BB"/>
    <w:rsid w:val="2C7E7C57"/>
    <w:rsid w:val="2CBF2D09"/>
    <w:rsid w:val="2CD80157"/>
    <w:rsid w:val="2D480265"/>
    <w:rsid w:val="2DA17ECF"/>
    <w:rsid w:val="2EC4391B"/>
    <w:rsid w:val="2EF22236"/>
    <w:rsid w:val="2F1A21A8"/>
    <w:rsid w:val="30FD7671"/>
    <w:rsid w:val="32990C1B"/>
    <w:rsid w:val="369169D1"/>
    <w:rsid w:val="39E210F9"/>
    <w:rsid w:val="3AF760A9"/>
    <w:rsid w:val="3C213BF5"/>
    <w:rsid w:val="403951B7"/>
    <w:rsid w:val="403F0E94"/>
    <w:rsid w:val="439873F8"/>
    <w:rsid w:val="44A40D42"/>
    <w:rsid w:val="44FB25AA"/>
    <w:rsid w:val="467557CF"/>
    <w:rsid w:val="47B936CE"/>
    <w:rsid w:val="47F06A69"/>
    <w:rsid w:val="4ADE0A41"/>
    <w:rsid w:val="4AFB6935"/>
    <w:rsid w:val="4B6E4EE3"/>
    <w:rsid w:val="4BA964A0"/>
    <w:rsid w:val="50F46A2A"/>
    <w:rsid w:val="514C1DBB"/>
    <w:rsid w:val="526661B8"/>
    <w:rsid w:val="53BA0CC5"/>
    <w:rsid w:val="545E0C19"/>
    <w:rsid w:val="54820973"/>
    <w:rsid w:val="54D519BC"/>
    <w:rsid w:val="56EE4F2B"/>
    <w:rsid w:val="587649FF"/>
    <w:rsid w:val="5D4D28E9"/>
    <w:rsid w:val="5E0F60B1"/>
    <w:rsid w:val="5EC41AE3"/>
    <w:rsid w:val="61043970"/>
    <w:rsid w:val="61B55569"/>
    <w:rsid w:val="62F82F7B"/>
    <w:rsid w:val="630C29C8"/>
    <w:rsid w:val="636724EC"/>
    <w:rsid w:val="65426A52"/>
    <w:rsid w:val="6767185A"/>
    <w:rsid w:val="68642C71"/>
    <w:rsid w:val="6864524C"/>
    <w:rsid w:val="69EA5EE9"/>
    <w:rsid w:val="6BDF3567"/>
    <w:rsid w:val="6D2E0C03"/>
    <w:rsid w:val="6FC86926"/>
    <w:rsid w:val="70CB33D9"/>
    <w:rsid w:val="70E4237E"/>
    <w:rsid w:val="71145A61"/>
    <w:rsid w:val="71571A31"/>
    <w:rsid w:val="71704C61"/>
    <w:rsid w:val="72595283"/>
    <w:rsid w:val="75FF32C7"/>
    <w:rsid w:val="78306BDE"/>
    <w:rsid w:val="7BD76009"/>
    <w:rsid w:val="7CA14480"/>
    <w:rsid w:val="7D4D5E56"/>
    <w:rsid w:val="7D944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1"/>
    <w:pPr>
      <w:ind w:left="1277" w:right="1432"/>
      <w:jc w:val="center"/>
      <w:outlineLvl w:val="0"/>
    </w:pPr>
    <w:rPr>
      <w:sz w:val="44"/>
      <w:szCs w:val="44"/>
    </w:rPr>
  </w:style>
  <w:style w:type="paragraph" w:styleId="6">
    <w:name w:val="heading 2"/>
    <w:basedOn w:val="1"/>
    <w:next w:val="1"/>
    <w:link w:val="48"/>
    <w:autoRedefine/>
    <w:unhideWhenUsed/>
    <w:qFormat/>
    <w:uiPriority w:val="9"/>
    <w:pPr>
      <w:keepNext/>
      <w:keepLines/>
      <w:jc w:val="left"/>
      <w:outlineLvl w:val="1"/>
    </w:pPr>
    <w:rPr>
      <w:rFonts w:eastAsia="楷体" w:cs="Times New Roman"/>
      <w:bCs/>
      <w:szCs w:val="32"/>
    </w:rPr>
  </w:style>
  <w:style w:type="paragraph" w:styleId="7">
    <w:name w:val="heading 3"/>
    <w:basedOn w:val="1"/>
    <w:next w:val="1"/>
    <w:link w:val="49"/>
    <w:autoRedefine/>
    <w:qFormat/>
    <w:uiPriority w:val="0"/>
    <w:pPr>
      <w:keepNext/>
      <w:keepLines/>
      <w:spacing w:line="413" w:lineRule="auto"/>
      <w:outlineLvl w:val="2"/>
    </w:pPr>
    <w:rPr>
      <w:b/>
      <w:sz w:val="32"/>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99"/>
    <w:pPr>
      <w:ind w:firstLine="420" w:firstLineChars="200"/>
    </w:pPr>
  </w:style>
  <w:style w:type="paragraph" w:styleId="3">
    <w:name w:val="Body Text Indent"/>
    <w:basedOn w:val="1"/>
    <w:next w:val="4"/>
    <w:autoRedefine/>
    <w:qFormat/>
    <w:uiPriority w:val="99"/>
    <w:pPr>
      <w:spacing w:after="120"/>
      <w:ind w:left="420" w:leftChars="200"/>
    </w:pPr>
  </w:style>
  <w:style w:type="paragraph" w:styleId="4">
    <w:name w:val="Normal Indent"/>
    <w:basedOn w:val="1"/>
    <w:next w:val="1"/>
    <w:autoRedefine/>
    <w:qFormat/>
    <w:uiPriority w:val="99"/>
    <w:pPr>
      <w:overflowPunct w:val="0"/>
      <w:autoSpaceDE w:val="0"/>
      <w:autoSpaceDN w:val="0"/>
      <w:ind w:firstLine="420" w:firstLineChars="200"/>
    </w:pPr>
    <w:rPr>
      <w:sz w:val="32"/>
      <w:szCs w:val="21"/>
    </w:rPr>
  </w:style>
  <w:style w:type="paragraph" w:styleId="8">
    <w:name w:val="Body Text"/>
    <w:basedOn w:val="1"/>
    <w:next w:val="9"/>
    <w:autoRedefine/>
    <w:qFormat/>
    <w:uiPriority w:val="99"/>
    <w:pPr>
      <w:autoSpaceDE w:val="0"/>
      <w:autoSpaceDN w:val="0"/>
      <w:jc w:val="left"/>
    </w:pPr>
    <w:rPr>
      <w:rFonts w:ascii="宋体" w:hAnsi="宋体" w:cs="宋体"/>
      <w:kern w:val="0"/>
      <w:sz w:val="32"/>
      <w:szCs w:val="32"/>
      <w:lang w:val="zh-CN"/>
    </w:rPr>
  </w:style>
  <w:style w:type="paragraph" w:customStyle="1" w:styleId="9">
    <w:name w:val="段"/>
    <w:autoRedefine/>
    <w:qFormat/>
    <w:uiPriority w:val="0"/>
    <w:pPr>
      <w:autoSpaceDE w:val="0"/>
      <w:autoSpaceDN w:val="0"/>
      <w:ind w:firstLine="420" w:firstLineChars="200"/>
      <w:jc w:val="both"/>
    </w:pPr>
    <w:rPr>
      <w:rFonts w:ascii="宋体" w:hAnsi="Times New Roman" w:eastAsia="Times New Roman" w:cs="Times New Roman"/>
      <w:sz w:val="21"/>
      <w:lang w:val="en-US" w:eastAsia="zh-CN" w:bidi="ar-SA"/>
    </w:rPr>
  </w:style>
  <w:style w:type="paragraph" w:styleId="10">
    <w:name w:val="toc 5"/>
    <w:basedOn w:val="1"/>
    <w:next w:val="1"/>
    <w:autoRedefine/>
    <w:qFormat/>
    <w:uiPriority w:val="0"/>
    <w:pPr>
      <w:ind w:left="1680" w:leftChars="800"/>
    </w:pPr>
  </w:style>
  <w:style w:type="paragraph" w:styleId="11">
    <w:name w:val="toc 3"/>
    <w:next w:val="1"/>
    <w:autoRedefine/>
    <w:qFormat/>
    <w:uiPriority w:val="39"/>
    <w:pPr>
      <w:widowControl w:val="0"/>
      <w:autoSpaceDE w:val="0"/>
      <w:autoSpaceDN w:val="0"/>
      <w:ind w:left="840" w:leftChars="400"/>
    </w:pPr>
    <w:rPr>
      <w:rFonts w:ascii="PMingLiU-ExtB" w:hAnsi="PMingLiU-ExtB" w:eastAsia="PMingLiU-ExtB" w:cs="PMingLiU-ExtB"/>
      <w:sz w:val="22"/>
      <w:szCs w:val="22"/>
      <w:lang w:val="en-US" w:eastAsia="en-US" w:bidi="ar-SA"/>
    </w:rPr>
  </w:style>
  <w:style w:type="paragraph" w:styleId="12">
    <w:name w:val="Plain Text"/>
    <w:basedOn w:val="1"/>
    <w:autoRedefine/>
    <w:qFormat/>
    <w:uiPriority w:val="99"/>
    <w:rPr>
      <w:rFonts w:ascii="宋体" w:hAnsi="Courier New" w:eastAsia="宋体" w:cs="Courier New"/>
      <w:szCs w:val="21"/>
    </w:rPr>
  </w:style>
  <w:style w:type="paragraph" w:styleId="13">
    <w:name w:val="Body Text Indent 2"/>
    <w:basedOn w:val="1"/>
    <w:autoRedefine/>
    <w:qFormat/>
    <w:uiPriority w:val="0"/>
    <w:pPr>
      <w:spacing w:after="120" w:afterLines="0" w:afterAutospacing="0" w:line="480" w:lineRule="auto"/>
      <w:ind w:left="420" w:leftChars="200"/>
    </w:pPr>
  </w:style>
  <w:style w:type="paragraph" w:styleId="14">
    <w:name w:val="Balloon Text"/>
    <w:basedOn w:val="1"/>
    <w:autoRedefine/>
    <w:qFormat/>
    <w:uiPriority w:val="0"/>
    <w:rPr>
      <w:rFonts w:ascii="Times New Roman" w:hAnsi="Times New Roman" w:eastAsia="宋体" w:cs="Times New Roman"/>
      <w:sz w:val="18"/>
      <w:szCs w:val="18"/>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39"/>
    <w:pPr>
      <w:widowControl w:val="0"/>
      <w:autoSpaceDE w:val="0"/>
      <w:autoSpaceDN w:val="0"/>
    </w:pPr>
    <w:rPr>
      <w:rFonts w:ascii="PMingLiU-ExtB" w:hAnsi="PMingLiU-ExtB" w:eastAsia="PMingLiU-ExtB" w:cs="PMingLiU-ExtB"/>
      <w:sz w:val="22"/>
      <w:szCs w:val="22"/>
      <w:lang w:val="en-US" w:eastAsia="en-US" w:bidi="ar-SA"/>
    </w:rPr>
  </w:style>
  <w:style w:type="paragraph" w:styleId="18">
    <w:name w:val="toc 2"/>
    <w:basedOn w:val="1"/>
    <w:next w:val="1"/>
    <w:autoRedefine/>
    <w:qFormat/>
    <w:uiPriority w:val="39"/>
    <w:pPr>
      <w:widowControl w:val="0"/>
      <w:autoSpaceDE w:val="0"/>
      <w:autoSpaceDN w:val="0"/>
      <w:ind w:left="420" w:leftChars="200"/>
    </w:pPr>
    <w:rPr>
      <w:rFonts w:ascii="PMingLiU-ExtB" w:hAnsi="PMingLiU-ExtB" w:eastAsia="PMingLiU-ExtB" w:cs="PMingLiU-ExtB"/>
      <w:sz w:val="22"/>
      <w:szCs w:val="22"/>
      <w:lang w:val="en-US" w:eastAsia="en-US" w:bidi="ar-SA"/>
    </w:r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autoRedefine/>
    <w:qFormat/>
    <w:uiPriority w:val="10"/>
    <w:pPr>
      <w:jc w:val="center"/>
      <w:outlineLvl w:val="0"/>
    </w:pPr>
    <w:rPr>
      <w:rFonts w:eastAsia="方正小标宋简体" w:cs="Times New Roman"/>
      <w:bCs/>
      <w:sz w:val="44"/>
      <w:szCs w:val="32"/>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page number"/>
    <w:basedOn w:val="23"/>
    <w:autoRedefine/>
    <w:qFormat/>
    <w:uiPriority w:val="0"/>
  </w:style>
  <w:style w:type="character" w:styleId="26">
    <w:name w:val="Hyperlink"/>
    <w:basedOn w:val="23"/>
    <w:autoRedefine/>
    <w:semiHidden/>
    <w:unhideWhenUsed/>
    <w:qFormat/>
    <w:uiPriority w:val="99"/>
    <w:rPr>
      <w:color w:val="0000FF"/>
      <w:u w:val="single"/>
    </w:rPr>
  </w:style>
  <w:style w:type="paragraph" w:customStyle="1" w:styleId="27">
    <w:name w:val="正文缩进1"/>
    <w:autoRedefine/>
    <w:qFormat/>
    <w:uiPriority w:val="0"/>
    <w:pPr>
      <w:widowControl w:val="0"/>
      <w:autoSpaceDE w:val="0"/>
      <w:autoSpaceDN w:val="0"/>
      <w:ind w:firstLine="420" w:firstLineChars="200"/>
    </w:pPr>
    <w:rPr>
      <w:rFonts w:ascii="Calibri" w:hAnsi="Calibri" w:eastAsia="宋体" w:cs="Times New Roman"/>
      <w:sz w:val="22"/>
      <w:szCs w:val="24"/>
      <w:lang w:val="en-US" w:eastAsia="zh-CN" w:bidi="ar-SA"/>
    </w:rPr>
  </w:style>
  <w:style w:type="paragraph" w:customStyle="1" w:styleId="28">
    <w:name w:val="列出段落1"/>
    <w:basedOn w:val="1"/>
    <w:autoRedefine/>
    <w:qFormat/>
    <w:uiPriority w:val="34"/>
    <w:pPr>
      <w:ind w:firstLine="420" w:firstLineChars="200"/>
    </w:pPr>
  </w:style>
  <w:style w:type="paragraph" w:customStyle="1" w:styleId="29">
    <w:name w:val="Body Text First Indent 21"/>
    <w:basedOn w:val="30"/>
    <w:autoRedefine/>
    <w:qFormat/>
    <w:uiPriority w:val="99"/>
    <w:pPr>
      <w:ind w:firstLine="420" w:firstLineChars="200"/>
    </w:pPr>
  </w:style>
  <w:style w:type="paragraph" w:customStyle="1" w:styleId="30">
    <w:name w:val="Body Text Indent1"/>
    <w:basedOn w:val="1"/>
    <w:autoRedefine/>
    <w:qFormat/>
    <w:uiPriority w:val="99"/>
    <w:pPr>
      <w:ind w:left="420" w:leftChars="200"/>
    </w:pPr>
  </w:style>
  <w:style w:type="paragraph" w:customStyle="1" w:styleId="31">
    <w:name w:val="NormalIndent"/>
    <w:basedOn w:val="1"/>
    <w:autoRedefine/>
    <w:qFormat/>
    <w:uiPriority w:val="0"/>
    <w:pPr>
      <w:ind w:firstLine="420" w:firstLineChars="200"/>
      <w:jc w:val="both"/>
      <w:textAlignment w:val="baseline"/>
    </w:pPr>
    <w:rPr>
      <w:rFonts w:ascii="Times New Roman" w:hAnsi="Times New Roman" w:eastAsia="宋体" w:cs="Times New Roman"/>
      <w:kern w:val="2"/>
      <w:sz w:val="32"/>
      <w:szCs w:val="21"/>
      <w:lang w:val="en-US" w:eastAsia="zh-CN" w:bidi="ar-SA"/>
    </w:rPr>
  </w:style>
  <w:style w:type="paragraph" w:customStyle="1" w:styleId="32">
    <w:name w:val="0"/>
    <w:basedOn w:val="1"/>
    <w:autoRedefine/>
    <w:qFormat/>
    <w:uiPriority w:val="0"/>
    <w:pPr>
      <w:widowControl/>
      <w:snapToGrid w:val="0"/>
      <w:spacing w:line="365" w:lineRule="atLeast"/>
      <w:ind w:left="1"/>
      <w:textAlignment w:val="bottom"/>
    </w:pPr>
    <w:rPr>
      <w:kern w:val="0"/>
      <w:sz w:val="20"/>
      <w:szCs w:val="20"/>
    </w:rPr>
  </w:style>
  <w:style w:type="paragraph" w:styleId="33">
    <w:name w:val="List Paragraph"/>
    <w:basedOn w:val="1"/>
    <w:autoRedefine/>
    <w:qFormat/>
    <w:uiPriority w:val="34"/>
    <w:pPr>
      <w:ind w:firstLine="420" w:firstLineChars="200"/>
    </w:pPr>
  </w:style>
  <w:style w:type="character" w:customStyle="1" w:styleId="34">
    <w:name w:val="font61"/>
    <w:basedOn w:val="23"/>
    <w:autoRedefine/>
    <w:qFormat/>
    <w:uiPriority w:val="0"/>
    <w:rPr>
      <w:rFonts w:hint="eastAsia" w:ascii="黑体" w:hAnsi="宋体" w:eastAsia="黑体" w:cs="黑体"/>
      <w:color w:val="000000"/>
      <w:sz w:val="28"/>
      <w:szCs w:val="28"/>
      <w:u w:val="none"/>
    </w:rPr>
  </w:style>
  <w:style w:type="character" w:customStyle="1" w:styleId="35">
    <w:name w:val="font51"/>
    <w:basedOn w:val="23"/>
    <w:autoRedefine/>
    <w:qFormat/>
    <w:uiPriority w:val="0"/>
    <w:rPr>
      <w:rFonts w:hint="eastAsia" w:ascii="宋体" w:hAnsi="宋体" w:eastAsia="宋体" w:cs="宋体"/>
      <w:color w:val="000000"/>
      <w:sz w:val="28"/>
      <w:szCs w:val="28"/>
      <w:u w:val="none"/>
    </w:rPr>
  </w:style>
  <w:style w:type="character" w:customStyle="1" w:styleId="36">
    <w:name w:val="font21"/>
    <w:basedOn w:val="23"/>
    <w:autoRedefine/>
    <w:qFormat/>
    <w:uiPriority w:val="0"/>
    <w:rPr>
      <w:rFonts w:hint="eastAsia" w:ascii="宋体" w:hAnsi="宋体" w:eastAsia="宋体" w:cs="宋体"/>
      <w:color w:val="000000"/>
      <w:sz w:val="22"/>
      <w:szCs w:val="22"/>
      <w:u w:val="none"/>
    </w:rPr>
  </w:style>
  <w:style w:type="character" w:customStyle="1" w:styleId="37">
    <w:name w:val="font41"/>
    <w:basedOn w:val="23"/>
    <w:autoRedefine/>
    <w:qFormat/>
    <w:uiPriority w:val="0"/>
    <w:rPr>
      <w:rFonts w:hint="eastAsia" w:ascii="仿宋_GB2312" w:eastAsia="仿宋_GB2312" w:cs="仿宋_GB2312"/>
      <w:b/>
      <w:bCs/>
      <w:color w:val="000000"/>
      <w:sz w:val="24"/>
      <w:szCs w:val="24"/>
      <w:u w:val="none"/>
    </w:rPr>
  </w:style>
  <w:style w:type="character" w:customStyle="1" w:styleId="38">
    <w:name w:val="font11"/>
    <w:basedOn w:val="23"/>
    <w:autoRedefine/>
    <w:qFormat/>
    <w:uiPriority w:val="0"/>
    <w:rPr>
      <w:rFonts w:hint="eastAsia" w:ascii="黑体" w:hAnsi="宋体" w:eastAsia="黑体" w:cs="黑体"/>
      <w:color w:val="000000"/>
      <w:sz w:val="28"/>
      <w:szCs w:val="28"/>
      <w:u w:val="none"/>
    </w:rPr>
  </w:style>
  <w:style w:type="paragraph" w:customStyle="1" w:styleId="39">
    <w:name w:val="Table Paragraph"/>
    <w:basedOn w:val="1"/>
    <w:autoRedefine/>
    <w:qFormat/>
    <w:uiPriority w:val="1"/>
  </w:style>
  <w:style w:type="character" w:customStyle="1" w:styleId="40">
    <w:name w:val="NormalCharacter"/>
    <w:autoRedefine/>
    <w:qFormat/>
    <w:uiPriority w:val="0"/>
    <w:rPr>
      <w:kern w:val="2"/>
      <w:sz w:val="21"/>
      <w:szCs w:val="24"/>
      <w:lang w:val="en-US" w:eastAsia="zh-CN" w:bidi="ar-SA"/>
    </w:rPr>
  </w:style>
  <w:style w:type="table" w:customStyle="1" w:styleId="41">
    <w:name w:val="Table Normal"/>
    <w:autoRedefine/>
    <w:unhideWhenUsed/>
    <w:qFormat/>
    <w:uiPriority w:val="0"/>
    <w:tblPr>
      <w:tblCellMar>
        <w:top w:w="0" w:type="dxa"/>
        <w:left w:w="0" w:type="dxa"/>
        <w:bottom w:w="0" w:type="dxa"/>
        <w:right w:w="0" w:type="dxa"/>
      </w:tblCellMar>
    </w:tblPr>
  </w:style>
  <w:style w:type="paragraph" w:customStyle="1" w:styleId="42">
    <w:name w:val="Char Char Char Char Char Char Char Char Char Char Char Char Char Char Char Char Char Char Char Char Char Char Char Char Char Char Char Char Char Char Char Char Char"/>
    <w:basedOn w:val="1"/>
    <w:autoRedefine/>
    <w:qFormat/>
    <w:uiPriority w:val="0"/>
    <w:pPr>
      <w:widowControl/>
      <w:spacing w:before="100" w:beforeLines="0" w:beforeAutospacing="1" w:after="100" w:afterLines="0" w:afterAutospacing="1" w:line="240" w:lineRule="exact"/>
      <w:jc w:val="left"/>
    </w:pPr>
  </w:style>
  <w:style w:type="paragraph" w:customStyle="1" w:styleId="43">
    <w:name w:val="Char1"/>
    <w:basedOn w:val="1"/>
    <w:autoRedefine/>
    <w:qFormat/>
    <w:uiPriority w:val="0"/>
  </w:style>
  <w:style w:type="paragraph" w:customStyle="1" w:styleId="44">
    <w:name w:val="UserStyle_0"/>
    <w:basedOn w:val="1"/>
    <w:autoRedefine/>
    <w:qFormat/>
    <w:uiPriority w:val="0"/>
    <w:pPr>
      <w:ind w:firstLine="420" w:firstLineChars="200"/>
      <w:jc w:val="both"/>
      <w:textAlignment w:val="baseline"/>
    </w:pPr>
    <w:rPr>
      <w:rFonts w:ascii="Times New Roman" w:hAnsi="Times New Roman" w:eastAsia="宋体"/>
      <w:kern w:val="2"/>
      <w:sz w:val="32"/>
      <w:szCs w:val="21"/>
      <w:lang w:val="en-US" w:eastAsia="zh-CN" w:bidi="ar-SA"/>
    </w:rPr>
  </w:style>
  <w:style w:type="paragraph" w:customStyle="1" w:styleId="45">
    <w:name w:val="我的正文"/>
    <w:basedOn w:val="1"/>
    <w:autoRedefine/>
    <w:qFormat/>
    <w:uiPriority w:val="0"/>
    <w:pPr>
      <w:spacing w:line="460" w:lineRule="exact"/>
      <w:ind w:firstLine="482"/>
    </w:pPr>
    <w:rPr>
      <w:rFonts w:ascii="Times New Roman" w:hAnsi="Times New Roman"/>
      <w:szCs w:val="24"/>
    </w:rPr>
  </w:style>
  <w:style w:type="paragraph" w:customStyle="1" w:styleId="46">
    <w:name w:val="表格"/>
    <w:basedOn w:val="1"/>
    <w:autoRedefine/>
    <w:qFormat/>
    <w:uiPriority w:val="0"/>
    <w:pPr>
      <w:spacing w:line="240" w:lineRule="atLeast"/>
    </w:pPr>
    <w:rPr>
      <w:sz w:val="18"/>
    </w:rPr>
  </w:style>
  <w:style w:type="paragraph" w:customStyle="1" w:styleId="47">
    <w:name w:val="正文黑体"/>
    <w:basedOn w:val="1"/>
    <w:autoRedefine/>
    <w:qFormat/>
    <w:uiPriority w:val="0"/>
    <w:rPr>
      <w:rFonts w:eastAsia="黑体"/>
    </w:rPr>
  </w:style>
  <w:style w:type="character" w:customStyle="1" w:styleId="48">
    <w:name w:val="标题 2 Char"/>
    <w:basedOn w:val="23"/>
    <w:link w:val="6"/>
    <w:autoRedefine/>
    <w:qFormat/>
    <w:uiPriority w:val="9"/>
    <w:rPr>
      <w:rFonts w:eastAsia="楷体" w:cs="Times New Roman"/>
      <w:bCs/>
      <w:szCs w:val="32"/>
    </w:rPr>
  </w:style>
  <w:style w:type="character" w:customStyle="1" w:styleId="49">
    <w:name w:val="标题 3 Char"/>
    <w:link w:val="7"/>
    <w:autoRedefine/>
    <w:qFormat/>
    <w:uiPriority w:val="0"/>
    <w:rPr>
      <w:b/>
      <w:sz w:val="32"/>
    </w:rPr>
  </w:style>
  <w:style w:type="paragraph" w:customStyle="1" w:styleId="50">
    <w:name w:val="样式 正文文本缩进 + 行距: 1.5 倍行距"/>
    <w:basedOn w:val="1"/>
    <w:qFormat/>
    <w:uiPriority w:val="0"/>
    <w:pPr>
      <w:spacing w:after="120" w:line="360" w:lineRule="auto"/>
      <w:ind w:left="90" w:leftChars="32" w:firstLine="560" w:firstLineChars="200"/>
    </w:pPr>
    <w:rPr>
      <w:rFonts w:cs="宋体"/>
    </w:rPr>
  </w:style>
  <w:style w:type="paragraph" w:customStyle="1" w:styleId="51">
    <w:name w:val="文档正文"/>
    <w:basedOn w:val="1"/>
    <w:unhideWhenUsed/>
    <w:qFormat/>
    <w:uiPriority w:val="0"/>
    <w:pPr>
      <w:adjustRightInd w:val="0"/>
      <w:spacing w:beforeLines="0" w:afterLines="0" w:line="480" w:lineRule="atLeast"/>
      <w:textAlignment w:val="baseline"/>
    </w:pPr>
    <w:rPr>
      <w:rFonts w:hint="default" w:hAnsi="Arial"/>
      <w:kern w:val="0"/>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9264</Words>
  <Characters>9475</Characters>
  <Lines>0</Lines>
  <Paragraphs>0</Paragraphs>
  <TotalTime>2</TotalTime>
  <ScaleCrop>false</ScaleCrop>
  <LinksUpToDate>false</LinksUpToDate>
  <CharactersWithSpaces>9635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2021-03-31T03:30:00Z</dcterms:created>
  <dc:creator>吴迪</dc:creator>
  <cp:lastModifiedBy>1232</cp:lastModifiedBy>
  <cp:lastPrinted>2022-07-11T08:05:00Z</cp:lastPrinted>
  <dcterms:modified xsi:type="dcterms:W3CDTF">2025-07-08T03:01:09Z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F0CC6B7FB44047E49B0187E38754DB0F_13</vt:lpwstr>
  </property>
  <property fmtid="{D5CDD505-2E9C-101B-9397-08002B2CF9AE}" pid="4" name="KSOTemplateDocerSaveRecord">
    <vt:lpwstr>eyJoZGlkIjoiNDdhYzk4MDM5MjBkMzUxY2JhMTMxNzNiZTU0OTQwNTUiLCJ1c2VySWQiOiIyNDU2MjcxODcifQ==</vt:lpwstr>
  </property>
</Properties>
</file>