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BBAA5"/>
    <w:p w14:paraId="106D4398">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1" cstate="print"/>
                    <a:stretch>
                      <a:fillRect/>
                    </a:stretch>
                  </pic:blipFill>
                  <pic:spPr>
                    <a:xfrm>
                      <a:off x="0" y="0"/>
                      <a:ext cx="3316872" cy="3600000"/>
                    </a:xfrm>
                    <a:prstGeom prst="rect">
                      <a:avLst/>
                    </a:prstGeom>
                    <a:ln w="0">
                      <a:noFill/>
                    </a:ln>
                  </pic:spPr>
                </pic:pic>
              </a:graphicData>
            </a:graphic>
          </wp:inline>
        </w:drawing>
      </w:r>
    </w:p>
    <w:p w14:paraId="5E1D11E6">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14:paraId="2498B34D">
      <w:pPr>
        <w:spacing w:line="720" w:lineRule="auto"/>
        <w:jc w:val="center"/>
        <w:rPr>
          <w:rFonts w:ascii="方正小标宋简体" w:eastAsia="方正小标宋简体"/>
          <w:sz w:val="44"/>
          <w:szCs w:val="44"/>
        </w:rPr>
      </w:pPr>
    </w:p>
    <w:p w14:paraId="0111F4EE">
      <w:pPr>
        <w:spacing w:line="720" w:lineRule="auto"/>
        <w:jc w:val="center"/>
        <w:rPr>
          <w:rFonts w:ascii="方正小标宋简体" w:eastAsia="方正小标宋简体"/>
          <w:sz w:val="44"/>
          <w:szCs w:val="44"/>
        </w:rPr>
      </w:pPr>
    </w:p>
    <w:p w14:paraId="2BEC9ACA">
      <w:pPr>
        <w:spacing w:line="720" w:lineRule="auto"/>
        <w:jc w:val="both"/>
        <w:rPr>
          <w:rFonts w:ascii="方正小标宋简体" w:eastAsia="方正小标宋简体"/>
          <w:sz w:val="44"/>
          <w:szCs w:val="44"/>
        </w:rPr>
      </w:pPr>
    </w:p>
    <w:p w14:paraId="346255BB">
      <w:pPr>
        <w:pStyle w:val="19"/>
      </w:pPr>
    </w:p>
    <w:p w14:paraId="66A3B604">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25</w:t>
      </w:r>
    </w:p>
    <w:p w14:paraId="23997D39">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1</w:t>
      </w:r>
      <w:r>
        <w:rPr>
          <w:rFonts w:hint="eastAsia" w:ascii="方正小标宋简体" w:eastAsia="方正小标宋简体"/>
          <w:sz w:val="48"/>
          <w:szCs w:val="48"/>
        </w:rPr>
        <w:t>期</w:t>
      </w:r>
      <w:r>
        <w:rPr>
          <w:rFonts w:hint="eastAsia" w:ascii="文星仿宋" w:eastAsia="文星仿宋"/>
          <w:sz w:val="24"/>
          <w:szCs w:val="24"/>
          <w:lang w:eastAsia="zh-CN"/>
        </w:rPr>
        <w:tab/>
      </w:r>
    </w:p>
    <w:p w14:paraId="3E408ED4">
      <w:pPr>
        <w:spacing w:line="480" w:lineRule="exact"/>
        <w:jc w:val="center"/>
        <w:rPr>
          <w:rFonts w:hint="eastAsia" w:ascii="方正小标宋简体" w:eastAsia="方正小标宋简体"/>
          <w:sz w:val="36"/>
          <w:szCs w:val="36"/>
        </w:rPr>
      </w:pPr>
    </w:p>
    <w:p w14:paraId="1C0A2A3E">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14:paraId="32A9C7D9">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14:paraId="6EE30EF5">
      <w:pPr>
        <w:spacing w:line="400" w:lineRule="exact"/>
        <w:jc w:val="left"/>
        <w:rPr>
          <w:rFonts w:ascii="楷体_GB2312" w:eastAsia="楷体_GB2312"/>
          <w:b/>
          <w:sz w:val="24"/>
          <w:szCs w:val="24"/>
        </w:rPr>
      </w:pPr>
    </w:p>
    <w:p w14:paraId="19354838">
      <w:pPr>
        <w:spacing w:line="400" w:lineRule="exact"/>
        <w:jc w:val="left"/>
        <w:rPr>
          <w:rFonts w:ascii="楷体_GB2312" w:eastAsia="楷体_GB2312"/>
          <w:b/>
          <w:sz w:val="24"/>
          <w:szCs w:val="24"/>
        </w:rPr>
      </w:pPr>
      <w:r>
        <w:rPr>
          <w:rFonts w:hint="eastAsia" w:ascii="楷体_GB2312" w:eastAsia="楷体_GB2312"/>
          <w:b/>
          <w:sz w:val="24"/>
          <w:szCs w:val="24"/>
        </w:rPr>
        <w:t>公报介绍：</w:t>
      </w:r>
    </w:p>
    <w:p w14:paraId="0FF95E37">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14:paraId="06B08848">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14:paraId="5B1D9DBE">
      <w:pPr>
        <w:spacing w:line="400" w:lineRule="exact"/>
        <w:jc w:val="left"/>
        <w:rPr>
          <w:rFonts w:ascii="楷体_GB2312" w:eastAsia="楷体_GB2312"/>
          <w:b/>
          <w:sz w:val="24"/>
          <w:szCs w:val="24"/>
        </w:rPr>
      </w:pPr>
      <w:r>
        <w:rPr>
          <w:rFonts w:hint="eastAsia" w:ascii="楷体_GB2312" w:eastAsia="楷体_GB2312"/>
          <w:b/>
          <w:sz w:val="24"/>
          <w:szCs w:val="24"/>
        </w:rPr>
        <w:t>背景资料：</w:t>
      </w:r>
    </w:p>
    <w:p w14:paraId="1DCF8FE6">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14:paraId="6EE1F0FD">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14:paraId="1FF64B0B">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14:paraId="02F76B5F">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14:paraId="72E43916">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14:paraId="481689EF">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14:paraId="315FE7CF">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14:paraId="5A0AA309">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14:paraId="28CDAAFE">
      <w:pPr>
        <w:spacing w:line="520" w:lineRule="exact"/>
        <w:jc w:val="left"/>
        <w:rPr>
          <w:rFonts w:ascii="文星仿宋" w:eastAsia="文星仿宋"/>
          <w:sz w:val="24"/>
          <w:szCs w:val="24"/>
        </w:rPr>
      </w:pPr>
    </w:p>
    <w:p w14:paraId="1AD9185D">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仿宋" w:hAnsi="仿宋" w:eastAsia="仿宋" w:cs="仿宋"/>
          <w:spacing w:val="-6"/>
          <w:sz w:val="24"/>
          <w:szCs w:val="24"/>
          <w:lang w:val="en-US" w:eastAsia="zh-CN"/>
        </w:rPr>
      </w:pPr>
      <w:r>
        <w:rPr>
          <w:rFonts w:hint="eastAsia" w:ascii="黑体" w:hAnsi="黑体" w:eastAsia="黑体"/>
          <w:sz w:val="24"/>
          <w:szCs w:val="24"/>
        </w:rPr>
        <w:t>【县政府文件】</w:t>
      </w:r>
      <w:bookmarkStart w:id="0" w:name="_GoBack"/>
      <w:bookmarkEnd w:id="0"/>
    </w:p>
    <w:p w14:paraId="11785581">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郯城县人民政府关于公布县政府领导成员工作分工的通知（郯政字〔2025〕4号）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14:paraId="181CB3AE">
      <w:pPr>
        <w:keepNext w:val="0"/>
        <w:keepLines w:val="0"/>
        <w:pageBreakBefore w:val="0"/>
        <w:tabs>
          <w:tab w:val="right" w:leader="dot" w:pos="8190"/>
        </w:tabs>
        <w:kinsoku/>
        <w:wordWrap/>
        <w:overflowPunct/>
        <w:topLinePunct w:val="0"/>
        <w:autoSpaceDE/>
        <w:autoSpaceDN/>
        <w:bidi w:val="0"/>
        <w:adjustRightInd/>
        <w:snapToGrid/>
        <w:spacing w:line="50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黑体" w:hAnsi="黑体" w:eastAsia="黑体"/>
          <w:sz w:val="24"/>
          <w:szCs w:val="24"/>
        </w:rPr>
        <w:t>【县政府办公室文件】</w:t>
      </w:r>
    </w:p>
    <w:p w14:paraId="312D568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郯城县人民政府办公室关于印发《</w:t>
      </w:r>
      <w:r>
        <w:rPr>
          <w:rFonts w:hint="eastAsia" w:ascii="仿宋" w:hAnsi="仿宋" w:eastAsia="仿宋" w:cs="仿宋"/>
          <w:spacing w:val="-6"/>
          <w:kern w:val="2"/>
          <w:sz w:val="24"/>
          <w:szCs w:val="24"/>
          <w:lang w:val="en-US" w:eastAsia="zh-CN" w:bidi="ar-SA"/>
        </w:rPr>
        <w:t>郯城县推进小城镇提升三年行动实施意见》</w:t>
      </w:r>
      <w:r>
        <w:rPr>
          <w:rFonts w:hint="eastAsia" w:ascii="仿宋" w:hAnsi="仿宋" w:eastAsia="仿宋" w:cs="仿宋"/>
          <w:sz w:val="24"/>
          <w:szCs w:val="24"/>
          <w:lang w:val="en-US" w:eastAsia="zh-CN"/>
        </w:rPr>
        <w:t>的通知</w:t>
      </w:r>
      <w:r>
        <w:rPr>
          <w:rFonts w:hint="eastAsia" w:ascii="仿宋" w:hAnsi="仿宋" w:eastAsia="仿宋" w:cs="仿宋"/>
          <w:sz w:val="24"/>
          <w:szCs w:val="24"/>
          <w:lang w:val="en-US" w:eastAsia="zh-CN"/>
        </w:rPr>
        <w:t>（郯政办字〔2025〕1号）</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5</w:t>
      </w:r>
    </w:p>
    <w:p w14:paraId="519A72B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郯城县人民政</w:t>
      </w:r>
      <w:r>
        <w:rPr>
          <w:rFonts w:hint="eastAsia" w:ascii="仿宋" w:hAnsi="仿宋" w:eastAsia="仿宋" w:cs="仿宋"/>
          <w:sz w:val="24"/>
          <w:szCs w:val="24"/>
          <w:lang w:val="en-US" w:eastAsia="zh-CN"/>
        </w:rPr>
        <w:t>府办公室关于建立全县重点水利工程建设联席会议制度的通知</w:t>
      </w:r>
      <w:r>
        <w:rPr>
          <w:rFonts w:hint="eastAsia" w:ascii="仿宋" w:hAnsi="仿宋" w:eastAsia="仿宋" w:cs="仿宋"/>
          <w:spacing w:val="-6"/>
          <w:kern w:val="2"/>
          <w:sz w:val="24"/>
          <w:szCs w:val="24"/>
          <w:lang w:val="en-US" w:eastAsia="zh-CN" w:bidi="ar-SA"/>
        </w:rPr>
        <w:t>（郯政办</w:t>
      </w:r>
      <w:r>
        <w:rPr>
          <w:rFonts w:hint="eastAsia" w:ascii="仿宋" w:hAnsi="仿宋" w:eastAsia="仿宋" w:cs="仿宋"/>
          <w:spacing w:val="-6"/>
          <w:kern w:val="2"/>
          <w:sz w:val="24"/>
          <w:szCs w:val="24"/>
          <w:lang w:val="en-US" w:eastAsia="zh-CN" w:bidi="ar-SA"/>
        </w:rPr>
        <w:t>字〔202</w:t>
      </w:r>
      <w:r>
        <w:rPr>
          <w:rFonts w:hint="eastAsia" w:ascii="仿宋" w:hAnsi="仿宋" w:eastAsia="仿宋" w:cs="仿宋"/>
          <w:spacing w:val="-6"/>
          <w:kern w:val="2"/>
          <w:sz w:val="24"/>
          <w:szCs w:val="24"/>
          <w:lang w:val="en-US" w:eastAsia="zh-CN" w:bidi="ar-SA"/>
        </w:rPr>
        <w:t>5〕</w:t>
      </w:r>
      <w:r>
        <w:rPr>
          <w:rFonts w:hint="eastAsia" w:ascii="仿宋" w:hAnsi="仿宋" w:eastAsia="仿宋" w:cs="仿宋"/>
          <w:spacing w:val="-6"/>
          <w:kern w:val="2"/>
          <w:sz w:val="24"/>
          <w:szCs w:val="24"/>
          <w:lang w:val="en-US" w:eastAsia="zh-CN" w:bidi="ar-SA"/>
        </w:rPr>
        <w:t>3号</w:t>
      </w:r>
      <w:r>
        <w:rPr>
          <w:rFonts w:hint="eastAsia" w:ascii="仿宋" w:hAnsi="仿宋" w:eastAsia="仿宋" w:cs="仿宋"/>
          <w:spacing w:val="-6"/>
          <w:kern w:val="2"/>
          <w:sz w:val="24"/>
          <w:szCs w:val="24"/>
          <w:lang w:val="en-US" w:eastAsia="zh-CN" w:bidi="ar-SA"/>
        </w:rPr>
        <w:t>）</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16</w:t>
      </w:r>
    </w:p>
    <w:p w14:paraId="15C818EA">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仿宋" w:hAnsi="仿宋" w:eastAsia="仿宋" w:cs="仿宋"/>
          <w:sz w:val="32"/>
          <w:szCs w:val="32"/>
          <w:lang w:val="en-US" w:eastAsia="zh-CN"/>
        </w:rPr>
        <w:sectPr>
          <w:headerReference r:id="rId6" w:type="default"/>
          <w:footerReference r:id="rId7" w:type="default"/>
          <w:footerReference r:id="rId8" w:type="even"/>
          <w:pgSz w:w="11906" w:h="16838"/>
          <w:pgMar w:top="1814" w:right="1587" w:bottom="1701" w:left="1587" w:header="851" w:footer="992" w:gutter="0"/>
          <w:pgNumType w:fmt="numberInDash"/>
          <w:cols w:space="720" w:num="1"/>
          <w:docGrid w:type="lines" w:linePitch="312" w:charSpace="0"/>
        </w:sectPr>
      </w:pPr>
    </w:p>
    <w:p w14:paraId="346D8006">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仿宋_GB2312" w:hAnsi="仿宋_GB2312" w:eastAsia="仿宋_GB2312" w:cs="仿宋_GB2312"/>
          <w:sz w:val="32"/>
          <w:szCs w:val="32"/>
          <w:lang w:val="en-US" w:eastAsia="zh-CN"/>
        </w:rPr>
      </w:pPr>
    </w:p>
    <w:p w14:paraId="6487D2A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仿宋_GB2312" w:hAnsi="仿宋_GB2312" w:eastAsia="仿宋_GB2312" w:cs="仿宋_GB2312"/>
          <w:sz w:val="32"/>
          <w:szCs w:val="32"/>
          <w:lang w:val="en-US" w:eastAsia="zh-CN"/>
        </w:rPr>
      </w:pPr>
    </w:p>
    <w:p w14:paraId="729C365D">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仿宋_GB2312" w:hAnsi="仿宋_GB2312" w:eastAsia="仿宋_GB2312" w:cs="仿宋_GB2312"/>
          <w:sz w:val="32"/>
          <w:szCs w:val="32"/>
          <w:lang w:val="en-US" w:eastAsia="zh-CN"/>
        </w:rPr>
      </w:pPr>
    </w:p>
    <w:p w14:paraId="45BC34EC">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仿宋_GB2312" w:hAnsi="仿宋_GB2312" w:eastAsia="仿宋_GB2312" w:cs="仿宋_GB2312"/>
          <w:sz w:val="32"/>
          <w:szCs w:val="32"/>
          <w:lang w:val="en-US" w:eastAsia="zh-CN"/>
        </w:rPr>
      </w:pPr>
    </w:p>
    <w:p w14:paraId="6CDC2FEB">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仿宋_GB2312" w:hAnsi="仿宋_GB2312" w:eastAsia="仿宋_GB2312" w:cs="仿宋_GB2312"/>
          <w:sz w:val="32"/>
          <w:szCs w:val="32"/>
          <w:lang w:val="en-US" w:eastAsia="zh-CN"/>
        </w:rPr>
      </w:pPr>
    </w:p>
    <w:p w14:paraId="598EC63A">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仿宋_GB2312" w:hAnsi="仿宋_GB2312" w:eastAsia="仿宋_GB2312" w:cs="仿宋_GB2312"/>
          <w:sz w:val="32"/>
          <w:szCs w:val="32"/>
          <w:lang w:val="en-US" w:eastAsia="zh-CN"/>
        </w:rPr>
      </w:pPr>
    </w:p>
    <w:p w14:paraId="0FDA9E44">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仿宋_GB2312" w:hAnsi="仿宋_GB2312" w:eastAsia="仿宋_GB2312" w:cs="仿宋_GB2312"/>
          <w:sz w:val="32"/>
          <w:szCs w:val="32"/>
          <w:lang w:val="en-US" w:eastAsia="zh-CN"/>
        </w:rPr>
      </w:pPr>
    </w:p>
    <w:p w14:paraId="15D5356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楷体_GB2312" w:hAnsi="楷体_GB2312" w:eastAsia="楷体_GB2312" w:cs="楷体_GB2312"/>
          <w:kern w:val="0"/>
          <w:sz w:val="32"/>
          <w:szCs w:val="32"/>
          <w:lang w:val="en-US" w:eastAsia="zh-CN" w:bidi="ar-SA"/>
        </w:rPr>
      </w:pPr>
      <w:r>
        <w:rPr>
          <w:rFonts w:hint="eastAsia" w:ascii="仿宋_GB2312" w:hAnsi="仿宋_GB2312" w:eastAsia="仿宋_GB2312" w:cs="仿宋_GB2312"/>
          <w:sz w:val="32"/>
          <w:szCs w:val="32"/>
          <w:lang w:val="en-US" w:eastAsia="zh-CN"/>
        </w:rPr>
        <w:t>郯政字〔2025〕4号</w:t>
      </w:r>
    </w:p>
    <w:p w14:paraId="0D0D517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olor w:val="000000"/>
          <w:sz w:val="24"/>
        </w:rPr>
      </w:pPr>
    </w:p>
    <w:p w14:paraId="274A2FBE">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rPr>
        <w:t>郯城县人民政府</w:t>
      </w:r>
    </w:p>
    <w:p w14:paraId="04A800EF">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rPr>
        <w:t>关于公布县政府领导成员工作分工的通知</w:t>
      </w:r>
    </w:p>
    <w:p w14:paraId="75E052DF">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color w:val="000000"/>
          <w:sz w:val="32"/>
          <w:szCs w:val="32"/>
        </w:rPr>
      </w:pPr>
    </w:p>
    <w:p w14:paraId="07316EB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各乡镇人民政府、郯城街道办事处，县政府各部门，科级以上事业单位，省、市直驻郯各单位，郯城经济开发区管委会，新村银杏产业开发区管委会：</w:t>
      </w:r>
    </w:p>
    <w:p w14:paraId="28A4EC8E">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现将县政府领导成员工作分工通知如下：</w:t>
      </w:r>
    </w:p>
    <w:p w14:paraId="57382D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sz w:val="32"/>
          <w:szCs w:val="32"/>
        </w:rPr>
      </w:pPr>
      <w:r>
        <w:rPr>
          <w:rFonts w:hint="eastAsia" w:ascii="黑体" w:hAnsi="黑体" w:eastAsia="黑体" w:cs="黑体"/>
          <w:color w:val="000000"/>
          <w:sz w:val="32"/>
          <w:szCs w:val="32"/>
        </w:rPr>
        <w:t>于广威同志：</w:t>
      </w:r>
      <w:r>
        <w:rPr>
          <w:rFonts w:hint="eastAsia" w:ascii="仿宋_GB2312" w:hAnsi="仿宋_GB2312" w:eastAsia="仿宋_GB2312" w:cs="仿宋_GB2312"/>
          <w:color w:val="000000"/>
          <w:sz w:val="32"/>
          <w:szCs w:val="32"/>
        </w:rPr>
        <w:t>主持县政府全面工作；负责财政、审计、税务、国防动员等方面工作。</w:t>
      </w:r>
    </w:p>
    <w:p w14:paraId="651760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分管县财政局、县审计局。</w:t>
      </w:r>
    </w:p>
    <w:p w14:paraId="4C5582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联系国家税务总局郯城县税务局。</w:t>
      </w:r>
    </w:p>
    <w:p w14:paraId="2F7764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龙希锋同志：</w:t>
      </w:r>
      <w:r>
        <w:rPr>
          <w:rFonts w:hint="eastAsia" w:ascii="仿宋_GB2312" w:hAnsi="仿宋_GB2312" w:eastAsia="仿宋_GB2312" w:cs="仿宋_GB2312"/>
          <w:sz w:val="32"/>
          <w:szCs w:val="32"/>
        </w:rPr>
        <w:t>负责县政府常务工作；协助于广威同志负责审计、国防动员工作；负责县政府机关、发展改革、人力资源和社会保障、自然资源、城乡规划、林业、城乡建设（住房保障、住房资金管理）、应急管理、安全生产、行政审批、综合</w:t>
      </w:r>
      <w:r>
        <w:rPr>
          <w:rFonts w:hint="eastAsia" w:ascii="仿宋_GB2312" w:hAnsi="仿宋_GB2312" w:eastAsia="仿宋_GB2312" w:cs="仿宋_GB2312"/>
          <w:spacing w:val="-6"/>
          <w:sz w:val="32"/>
          <w:szCs w:val="32"/>
        </w:rPr>
        <w:t>执法、统计</w:t>
      </w:r>
      <w:r>
        <w:rPr>
          <w:rFonts w:hint="eastAsia" w:ascii="仿宋_GB2312" w:hAnsi="仿宋_GB2312" w:eastAsia="仿宋_GB2312" w:cs="仿宋_GB2312"/>
          <w:sz w:val="32"/>
          <w:szCs w:val="32"/>
        </w:rPr>
        <w:t>、机关事务服务</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z w:val="32"/>
          <w:szCs w:val="32"/>
        </w:rPr>
        <w:t>园区建设</w:t>
      </w:r>
      <w:r>
        <w:rPr>
          <w:rFonts w:hint="eastAsia" w:ascii="仿宋_GB2312" w:hAnsi="仿宋_GB2312" w:eastAsia="仿宋_GB2312" w:cs="仿宋_GB2312"/>
          <w:spacing w:val="-6"/>
          <w:sz w:val="32"/>
          <w:szCs w:val="32"/>
        </w:rPr>
        <w:t>等方面工作。</w:t>
      </w:r>
    </w:p>
    <w:p w14:paraId="6CF36D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协助于广威同志分管县审计局。</w:t>
      </w:r>
    </w:p>
    <w:p w14:paraId="72DA73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分管县政府办公室（县大数据局）、县发展和改革局（县绿色低碳高质量发展先行区建设办公室、县能源局、县粮食和物资储备局、县国防动员办公室、县人民防空办公室）、县人力资源和社会保障局、县自然资源和规划局（县林业局）、县住房和城乡建设局、县应急管理局（县地震局）、县行政审批服务局（县政务服务管理办公室）、县综合行政执法局（县城市管理局）、县统计局、县机关</w:t>
      </w:r>
      <w:r>
        <w:rPr>
          <w:rFonts w:hint="eastAsia" w:ascii="仿宋_GB2312" w:hAnsi="仿宋_GB2312" w:eastAsia="仿宋_GB2312" w:cs="仿宋_GB2312"/>
          <w:spacing w:val="-6"/>
          <w:sz w:val="32"/>
          <w:szCs w:val="32"/>
        </w:rPr>
        <w:t>事务服务中心、县国有林场总场、郯城经济开发区管委会</w:t>
      </w:r>
      <w:r>
        <w:rPr>
          <w:rFonts w:hint="eastAsia" w:ascii="仿宋_GB2312" w:hAnsi="仿宋_GB2312" w:eastAsia="仿宋_GB2312" w:cs="仿宋_GB2312"/>
          <w:sz w:val="32"/>
          <w:szCs w:val="32"/>
        </w:rPr>
        <w:t>。</w:t>
      </w:r>
    </w:p>
    <w:p w14:paraId="00BC7686">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负责与县人大、县政协、县人武部、群团组织联系等方面工作。</w:t>
      </w:r>
    </w:p>
    <w:p w14:paraId="062539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sz w:val="32"/>
          <w:szCs w:val="32"/>
        </w:rPr>
      </w:pPr>
      <w:r>
        <w:rPr>
          <w:rFonts w:hint="eastAsia" w:ascii="黑体" w:hAnsi="黑体" w:eastAsia="黑体" w:cs="黑体"/>
          <w:color w:val="000000"/>
          <w:sz w:val="32"/>
          <w:szCs w:val="32"/>
        </w:rPr>
        <w:t>石启立同志：</w:t>
      </w:r>
      <w:r>
        <w:rPr>
          <w:rFonts w:hint="eastAsia" w:ascii="仿宋_GB2312" w:hAnsi="仿宋_GB2312" w:eastAsia="仿宋_GB2312" w:cs="仿宋_GB2312"/>
          <w:color w:val="000000"/>
          <w:sz w:val="32"/>
          <w:szCs w:val="32"/>
        </w:rPr>
        <w:t>负责工业和信息化、</w:t>
      </w:r>
      <w:r>
        <w:rPr>
          <w:rFonts w:hint="eastAsia" w:ascii="仿宋_GB2312" w:hAnsi="仿宋_GB2312" w:eastAsia="仿宋_GB2312" w:cs="仿宋_GB2312"/>
          <w:sz w:val="32"/>
          <w:szCs w:val="32"/>
        </w:rPr>
        <w:t>交通</w:t>
      </w:r>
      <w:r>
        <w:rPr>
          <w:rFonts w:hint="eastAsia" w:ascii="仿宋_GB2312" w:hAnsi="仿宋_GB2312" w:eastAsia="仿宋_GB2312" w:cs="仿宋_GB2312"/>
          <w:sz w:val="32"/>
          <w:szCs w:val="32"/>
          <w:lang w:val="en-US" w:eastAsia="zh-CN"/>
        </w:rPr>
        <w:t>公路</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商务、招商引资、</w:t>
      </w:r>
      <w:r>
        <w:rPr>
          <w:rFonts w:hint="eastAsia" w:ascii="仿宋_GB2312" w:hAnsi="仿宋_GB2312" w:eastAsia="仿宋_GB2312" w:cs="仿宋_GB2312"/>
          <w:sz w:val="32"/>
          <w:szCs w:val="32"/>
        </w:rPr>
        <w:t>市场监管、检验检测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电业、邮政、石油、通讯等方面工作。</w:t>
      </w:r>
    </w:p>
    <w:p w14:paraId="75316566">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分管县工业和信息化局、</w:t>
      </w:r>
      <w:r>
        <w:rPr>
          <w:rFonts w:hint="eastAsia" w:ascii="仿宋_GB2312" w:hAnsi="仿宋_GB2312" w:eastAsia="仿宋_GB2312" w:cs="仿宋_GB2312"/>
          <w:sz w:val="32"/>
          <w:szCs w:val="32"/>
        </w:rPr>
        <w:t>县交通运输局、</w:t>
      </w:r>
      <w:r>
        <w:rPr>
          <w:rFonts w:hint="eastAsia" w:ascii="仿宋_GB2312" w:hAnsi="仿宋_GB2312" w:eastAsia="仿宋_GB2312" w:cs="仿宋_GB2312"/>
          <w:color w:val="000000"/>
          <w:sz w:val="32"/>
          <w:szCs w:val="32"/>
        </w:rPr>
        <w:t>县商务局</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sz w:val="32"/>
          <w:szCs w:val="32"/>
        </w:rPr>
        <w:t>县市场监督管理局（县知识产权局）、县检验检测中心</w:t>
      </w:r>
      <w:r>
        <w:rPr>
          <w:rFonts w:hint="eastAsia" w:ascii="仿宋_GB2312" w:hAnsi="仿宋_GB2312" w:eastAsia="仿宋_GB2312" w:cs="仿宋_GB2312"/>
          <w:color w:val="000000"/>
          <w:sz w:val="32"/>
          <w:szCs w:val="32"/>
        </w:rPr>
        <w:t>。</w:t>
      </w:r>
    </w:p>
    <w:p w14:paraId="107BC6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联系县工商联、国网郯城县供电公司、</w:t>
      </w:r>
      <w:r>
        <w:rPr>
          <w:rFonts w:hint="eastAsia" w:ascii="仿宋_GB2312" w:hAnsi="仿宋_GB2312" w:eastAsia="仿宋_GB2312" w:cs="仿宋_GB2312"/>
          <w:sz w:val="32"/>
          <w:szCs w:val="32"/>
        </w:rPr>
        <w:t>郯城邮政管理局、市公路事业发展中心郯城县中心、</w:t>
      </w:r>
      <w:r>
        <w:rPr>
          <w:rFonts w:hint="eastAsia" w:ascii="仿宋_GB2312" w:hAnsi="仿宋_GB2312" w:eastAsia="仿宋_GB2312" w:cs="仿宋_GB2312"/>
          <w:color w:val="000000"/>
          <w:sz w:val="32"/>
          <w:szCs w:val="32"/>
        </w:rPr>
        <w:t>中国邮政郯城县分公司、中国石化郯城县分公司、中国移动郯城分公司、中国联通郯城分公司、中国电信郯城分公司、中国铁塔临沂分公司郯城县办事处。</w:t>
      </w:r>
    </w:p>
    <w:p w14:paraId="1E596B01">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rPr>
      </w:pPr>
      <w:r>
        <w:rPr>
          <w:rFonts w:hint="eastAsia" w:ascii="黑体" w:hAnsi="黑体" w:eastAsia="黑体" w:cs="黑体"/>
          <w:sz w:val="32"/>
          <w:szCs w:val="32"/>
        </w:rPr>
        <w:t>张玉安同志：</w:t>
      </w:r>
      <w:r>
        <w:rPr>
          <w:rFonts w:hint="eastAsia" w:ascii="仿宋_GB2312" w:hAnsi="仿宋_GB2312" w:eastAsia="仿宋_GB2312" w:cs="仿宋_GB2312"/>
          <w:sz w:val="32"/>
          <w:szCs w:val="32"/>
        </w:rPr>
        <w:t>负责水利、农业农村、供销、生态环境、沂沭河管理、采砂管理、气象、烟草等方面工作。</w:t>
      </w:r>
    </w:p>
    <w:p w14:paraId="09B3DD78">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分管县水利局、县农业农村局（县乡村振兴局、县畜牧兽医局）、郯南农场、县供销合作社、市畜牧场。</w:t>
      </w:r>
    </w:p>
    <w:p w14:paraId="4366283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联系市生态环境局郯城县分局、沂沭河水利管理局郯城河道管理局、县气象局、山东临沂烟草有限公司郯城分公司。</w:t>
      </w:r>
    </w:p>
    <w:p w14:paraId="4257C271">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rPr>
      </w:pPr>
      <w:r>
        <w:rPr>
          <w:rFonts w:hint="eastAsia" w:ascii="黑体" w:hAnsi="黑体" w:eastAsia="黑体" w:cs="黑体"/>
          <w:sz w:val="32"/>
          <w:szCs w:val="32"/>
        </w:rPr>
        <w:t>曹晓飞同志：</w:t>
      </w:r>
      <w:r>
        <w:rPr>
          <w:rFonts w:hint="eastAsia" w:ascii="仿宋_GB2312" w:hAnsi="仿宋_GB2312" w:eastAsia="仿宋_GB2312" w:cs="仿宋_GB2312"/>
          <w:sz w:val="32"/>
          <w:szCs w:val="32"/>
        </w:rPr>
        <w:t>主持县公安局全面工作；负责司法、退役军人事务、信访、交警、军民关系等方面工作。</w:t>
      </w:r>
    </w:p>
    <w:p w14:paraId="19C52DC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分管县公安局、县司法局、县退役军人事务局、县信访局、县交警大队。</w:t>
      </w:r>
    </w:p>
    <w:p w14:paraId="1E3B3AE0">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尹相杰同志：</w:t>
      </w:r>
      <w:r>
        <w:rPr>
          <w:rFonts w:hint="eastAsia" w:ascii="仿宋_GB2312" w:hAnsi="仿宋_GB2312" w:eastAsia="仿宋_GB2312" w:cs="仿宋_GB2312"/>
          <w:sz w:val="32"/>
          <w:szCs w:val="32"/>
          <w:lang w:val="en-US" w:eastAsia="zh-CN"/>
        </w:rPr>
        <w:t>协助于广威同志负责</w:t>
      </w:r>
      <w:r>
        <w:rPr>
          <w:rFonts w:hint="eastAsia" w:ascii="仿宋_GB2312" w:hAnsi="仿宋_GB2312" w:eastAsia="仿宋_GB2312" w:cs="仿宋_GB2312"/>
          <w:sz w:val="32"/>
          <w:szCs w:val="32"/>
        </w:rPr>
        <w:t>财政、税务</w:t>
      </w:r>
      <w:r>
        <w:rPr>
          <w:rFonts w:hint="eastAsia" w:ascii="仿宋_GB2312" w:hAnsi="仿宋_GB2312" w:eastAsia="仿宋_GB2312" w:cs="仿宋_GB2312"/>
          <w:sz w:val="32"/>
          <w:szCs w:val="32"/>
          <w:lang w:val="en-US" w:eastAsia="zh-CN"/>
        </w:rPr>
        <w:t>工作；负责</w:t>
      </w:r>
      <w:r>
        <w:rPr>
          <w:rFonts w:hint="eastAsia" w:ascii="仿宋_GB2312" w:hAnsi="仿宋_GB2312" w:eastAsia="仿宋_GB2312" w:cs="仿宋_GB2312"/>
          <w:sz w:val="32"/>
          <w:szCs w:val="32"/>
        </w:rPr>
        <w:t>金融保险、</w:t>
      </w:r>
      <w:r>
        <w:rPr>
          <w:rFonts w:hint="eastAsia" w:ascii="仿宋_GB2312" w:hAnsi="仿宋_GB2312" w:eastAsia="仿宋_GB2312" w:cs="仿宋_GB2312"/>
          <w:spacing w:val="-6"/>
          <w:sz w:val="32"/>
          <w:szCs w:val="32"/>
        </w:rPr>
        <w:t>国有资产管理</w:t>
      </w:r>
      <w:r>
        <w:rPr>
          <w:rFonts w:hint="eastAsia" w:ascii="仿宋_GB2312" w:hAnsi="仿宋_GB2312" w:eastAsia="仿宋_GB2312" w:cs="仿宋_GB2312"/>
          <w:sz w:val="32"/>
          <w:szCs w:val="32"/>
          <w:lang w:val="en-US" w:eastAsia="zh-CN"/>
        </w:rPr>
        <w:t>等方面工作。</w:t>
      </w:r>
    </w:p>
    <w:p w14:paraId="0FBFCECF">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协助于广威同志分管</w:t>
      </w:r>
      <w:r>
        <w:rPr>
          <w:rFonts w:hint="eastAsia" w:ascii="仿宋_GB2312" w:hAnsi="仿宋_GB2312" w:eastAsia="仿宋_GB2312" w:cs="仿宋_GB2312"/>
          <w:sz w:val="32"/>
          <w:szCs w:val="32"/>
        </w:rPr>
        <w:t>县财政局，联系国家税务总局郯城县税务局</w:t>
      </w:r>
      <w:r>
        <w:rPr>
          <w:rFonts w:hint="eastAsia" w:ascii="仿宋_GB2312" w:hAnsi="仿宋_GB2312" w:eastAsia="仿宋_GB2312" w:cs="仿宋_GB2312"/>
          <w:sz w:val="32"/>
          <w:szCs w:val="32"/>
          <w:lang w:eastAsia="zh-CN"/>
        </w:rPr>
        <w:t>。</w:t>
      </w:r>
    </w:p>
    <w:p w14:paraId="0889203D">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分管</w:t>
      </w:r>
      <w:r>
        <w:rPr>
          <w:rFonts w:hint="eastAsia" w:ascii="仿宋_GB2312" w:hAnsi="仿宋_GB2312" w:eastAsia="仿宋_GB2312" w:cs="仿宋_GB2312"/>
          <w:sz w:val="32"/>
          <w:szCs w:val="32"/>
        </w:rPr>
        <w:t>县委管理领导班子国有企业</w:t>
      </w:r>
      <w:r>
        <w:rPr>
          <w:rFonts w:hint="eastAsia" w:ascii="仿宋_GB2312" w:hAnsi="仿宋_GB2312" w:eastAsia="仿宋_GB2312" w:cs="仿宋_GB2312"/>
          <w:sz w:val="32"/>
          <w:szCs w:val="32"/>
          <w:lang w:eastAsia="zh-CN"/>
        </w:rPr>
        <w:t>。</w:t>
      </w:r>
    </w:p>
    <w:p w14:paraId="4C0C147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联系</w:t>
      </w:r>
      <w:r>
        <w:rPr>
          <w:rFonts w:hint="eastAsia" w:ascii="仿宋_GB2312" w:hAnsi="仿宋_GB2312" w:eastAsia="仿宋_GB2312" w:cs="仿宋_GB2312"/>
          <w:sz w:val="32"/>
          <w:szCs w:val="32"/>
        </w:rPr>
        <w:t>国家金融监督管理总局郯城监管支局，驻郯城银行、保险机构</w:t>
      </w:r>
      <w:r>
        <w:rPr>
          <w:rFonts w:hint="eastAsia" w:ascii="仿宋_GB2312" w:hAnsi="仿宋_GB2312" w:eastAsia="仿宋_GB2312" w:cs="仿宋_GB2312"/>
          <w:sz w:val="32"/>
          <w:szCs w:val="32"/>
          <w:lang w:eastAsia="zh-CN"/>
        </w:rPr>
        <w:t>。</w:t>
      </w:r>
    </w:p>
    <w:p w14:paraId="4016C6D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color w:val="000000"/>
          <w:sz w:val="32"/>
          <w:szCs w:val="32"/>
        </w:rPr>
      </w:pPr>
      <w:r>
        <w:rPr>
          <w:rFonts w:hint="eastAsia" w:ascii="黑体" w:hAnsi="黑体" w:eastAsia="黑体" w:cs="黑体"/>
          <w:sz w:val="32"/>
          <w:szCs w:val="32"/>
          <w:lang w:val="en-US" w:eastAsia="zh-CN"/>
        </w:rPr>
        <w:t>禚海燕同志：</w:t>
      </w:r>
      <w:r>
        <w:rPr>
          <w:rFonts w:hint="eastAsia" w:ascii="仿宋_GB2312" w:hAnsi="仿宋_GB2312" w:eastAsia="仿宋_GB2312" w:cs="仿宋_GB2312"/>
          <w:color w:val="000000"/>
          <w:sz w:val="32"/>
          <w:szCs w:val="32"/>
        </w:rPr>
        <w:t>负责教育体育、</w:t>
      </w:r>
      <w:r>
        <w:rPr>
          <w:rFonts w:hint="eastAsia" w:ascii="仿宋_GB2312" w:hAnsi="仿宋_GB2312" w:eastAsia="仿宋_GB2312" w:cs="仿宋_GB2312"/>
          <w:sz w:val="32"/>
          <w:szCs w:val="32"/>
        </w:rPr>
        <w:t>民政、卫生健康、</w:t>
      </w:r>
      <w:r>
        <w:rPr>
          <w:rFonts w:hint="eastAsia" w:ascii="仿宋_GB2312" w:hAnsi="仿宋_GB2312" w:eastAsia="仿宋_GB2312" w:cs="仿宋_GB2312"/>
          <w:color w:val="000000"/>
          <w:sz w:val="32"/>
          <w:szCs w:val="32"/>
        </w:rPr>
        <w:t>文化旅游（文物保护）</w:t>
      </w:r>
      <w:r>
        <w:rPr>
          <w:rFonts w:hint="eastAsia" w:ascii="仿宋_GB2312" w:hAnsi="仿宋_GB2312" w:eastAsia="仿宋_GB2312" w:cs="仿宋_GB2312"/>
          <w:sz w:val="32"/>
          <w:szCs w:val="32"/>
        </w:rPr>
        <w:t>、医疗保障</w:t>
      </w:r>
      <w:r>
        <w:rPr>
          <w:rFonts w:hint="eastAsia" w:ascii="仿宋_GB2312" w:hAnsi="仿宋_GB2312" w:eastAsia="仿宋_GB2312" w:cs="仿宋_GB2312"/>
          <w:color w:val="000000"/>
          <w:sz w:val="32"/>
          <w:szCs w:val="32"/>
        </w:rPr>
        <w:t>、档案、融媒体、广播电视、广电网络</w:t>
      </w:r>
      <w:r>
        <w:rPr>
          <w:rFonts w:hint="eastAsia" w:ascii="仿宋_GB2312" w:hAnsi="仿宋_GB2312" w:eastAsia="仿宋_GB2312" w:cs="仿宋_GB2312"/>
          <w:sz w:val="32"/>
          <w:szCs w:val="32"/>
        </w:rPr>
        <w:t>、残联、红十字会</w:t>
      </w:r>
      <w:r>
        <w:rPr>
          <w:rFonts w:hint="eastAsia" w:ascii="仿宋_GB2312" w:hAnsi="仿宋_GB2312" w:eastAsia="仿宋_GB2312" w:cs="仿宋_GB2312"/>
          <w:color w:val="000000"/>
          <w:sz w:val="32"/>
          <w:szCs w:val="32"/>
        </w:rPr>
        <w:t>等方面工作。</w:t>
      </w:r>
    </w:p>
    <w:p w14:paraId="5F4A1C4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分管县教育和体育局、</w:t>
      </w:r>
      <w:r>
        <w:rPr>
          <w:rFonts w:hint="eastAsia" w:ascii="仿宋_GB2312" w:hAnsi="仿宋_GB2312" w:eastAsia="仿宋_GB2312" w:cs="仿宋_GB2312"/>
          <w:sz w:val="32"/>
          <w:szCs w:val="32"/>
        </w:rPr>
        <w:t>县民政局、县卫生健康局（县中医药管理局、县疾病预防控制局）、</w:t>
      </w:r>
      <w:r>
        <w:rPr>
          <w:rFonts w:hint="eastAsia" w:ascii="仿宋_GB2312" w:hAnsi="仿宋_GB2312" w:eastAsia="仿宋_GB2312" w:cs="仿宋_GB2312"/>
          <w:color w:val="000000"/>
          <w:sz w:val="32"/>
          <w:szCs w:val="32"/>
        </w:rPr>
        <w:t>县文化和旅游局</w:t>
      </w:r>
      <w:r>
        <w:rPr>
          <w:rFonts w:hint="eastAsia" w:ascii="仿宋_GB2312" w:hAnsi="仿宋_GB2312" w:eastAsia="仿宋_GB2312" w:cs="仿宋_GB2312"/>
          <w:sz w:val="32"/>
          <w:szCs w:val="32"/>
        </w:rPr>
        <w:t>（县广播电视局、</w:t>
      </w:r>
      <w:r>
        <w:rPr>
          <w:rFonts w:hint="eastAsia" w:ascii="仿宋_GB2312" w:hAnsi="仿宋_GB2312" w:eastAsia="仿宋_GB2312" w:cs="仿宋_GB2312"/>
          <w:color w:val="000000"/>
          <w:sz w:val="32"/>
          <w:szCs w:val="32"/>
        </w:rPr>
        <w:t>县文物局）</w:t>
      </w:r>
      <w:r>
        <w:rPr>
          <w:rFonts w:hint="eastAsia" w:ascii="仿宋_GB2312" w:hAnsi="仿宋_GB2312" w:eastAsia="仿宋_GB2312" w:cs="仿宋_GB2312"/>
          <w:sz w:val="32"/>
          <w:szCs w:val="32"/>
        </w:rPr>
        <w:t>、县医疗保障局</w:t>
      </w:r>
      <w:r>
        <w:rPr>
          <w:rFonts w:hint="eastAsia" w:ascii="仿宋_GB2312" w:hAnsi="仿宋_GB2312" w:eastAsia="仿宋_GB2312" w:cs="仿宋_GB2312"/>
          <w:color w:val="000000"/>
          <w:sz w:val="32"/>
          <w:szCs w:val="32"/>
        </w:rPr>
        <w:t>、马陵山景区管委会。</w:t>
      </w:r>
    </w:p>
    <w:p w14:paraId="1EC179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联系县档案馆、县融媒体中心（县广播电视台）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县残联、县红十字会</w:t>
      </w:r>
      <w:r>
        <w:rPr>
          <w:rFonts w:hint="eastAsia" w:ascii="仿宋_GB2312" w:hAnsi="仿宋_GB2312" w:eastAsia="仿宋_GB2312" w:cs="仿宋_GB2312"/>
          <w:color w:val="000000"/>
          <w:sz w:val="32"/>
          <w:szCs w:val="32"/>
        </w:rPr>
        <w:t>、广电网络</w:t>
      </w:r>
      <w:r>
        <w:rPr>
          <w:rFonts w:hint="eastAsia" w:ascii="仿宋_GB2312" w:hAnsi="仿宋_GB2312" w:eastAsia="仿宋_GB2312" w:cs="仿宋_GB2312"/>
          <w:sz w:val="32"/>
          <w:szCs w:val="32"/>
        </w:rPr>
        <w:t>郯城分公司。</w:t>
      </w:r>
    </w:p>
    <w:p w14:paraId="380E9D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薛超凯同志：</w:t>
      </w:r>
      <w:r>
        <w:rPr>
          <w:rFonts w:hint="eastAsia" w:ascii="仿宋_GB2312" w:hAnsi="仿宋_GB2312" w:eastAsia="仿宋_GB2312" w:cs="仿宋_GB2312"/>
          <w:sz w:val="32"/>
          <w:szCs w:val="32"/>
        </w:rPr>
        <w:t>负责科技等方面工作。</w:t>
      </w:r>
    </w:p>
    <w:p w14:paraId="3067DC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协助龙希锋同志负责人力资源和社会保障、机关事务服务、</w:t>
      </w:r>
      <w:r>
        <w:rPr>
          <w:rFonts w:hint="eastAsia" w:ascii="仿宋_GB2312" w:hAnsi="仿宋_GB2312" w:eastAsia="仿宋_GB2312" w:cs="仿宋_GB2312"/>
          <w:sz w:val="32"/>
          <w:szCs w:val="32"/>
          <w:lang w:val="en-US" w:eastAsia="zh-CN"/>
        </w:rPr>
        <w:t>大数据、</w:t>
      </w:r>
      <w:r>
        <w:rPr>
          <w:rFonts w:hint="eastAsia" w:ascii="仿宋_GB2312" w:hAnsi="仿宋_GB2312" w:eastAsia="仿宋_GB2312" w:cs="仿宋_GB2312"/>
          <w:sz w:val="32"/>
          <w:szCs w:val="32"/>
        </w:rPr>
        <w:t>园区建设、联系群团组织工作；协助石启立同志负责工业和信息化、商务、招商引资等方面工作；协助张玉安同志负责水利等方面工作。</w:t>
      </w:r>
    </w:p>
    <w:p w14:paraId="566D4E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分管</w:t>
      </w:r>
      <w:r>
        <w:rPr>
          <w:rFonts w:hint="eastAsia" w:ascii="仿宋_GB2312" w:hAnsi="仿宋_GB2312" w:eastAsia="仿宋_GB2312" w:cs="仿宋_GB2312"/>
          <w:color w:val="000000"/>
          <w:sz w:val="32"/>
          <w:szCs w:val="32"/>
        </w:rPr>
        <w:t>县科学技术局（</w:t>
      </w:r>
      <w:r>
        <w:rPr>
          <w:rFonts w:hint="eastAsia" w:ascii="仿宋_GB2312" w:hAnsi="仿宋_GB2312" w:eastAsia="仿宋_GB2312" w:cs="仿宋_GB2312"/>
          <w:sz w:val="32"/>
          <w:szCs w:val="32"/>
        </w:rPr>
        <w:t>县外国专家局</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w:t>
      </w:r>
    </w:p>
    <w:p w14:paraId="69EF1F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联系</w:t>
      </w:r>
      <w:r>
        <w:rPr>
          <w:rFonts w:hint="eastAsia" w:ascii="仿宋_GB2312" w:hAnsi="仿宋_GB2312" w:eastAsia="仿宋_GB2312" w:cs="仿宋_GB2312"/>
          <w:color w:val="000000"/>
          <w:sz w:val="32"/>
          <w:szCs w:val="32"/>
        </w:rPr>
        <w:t>县科协、</w:t>
      </w:r>
      <w:r>
        <w:rPr>
          <w:rFonts w:hint="eastAsia" w:ascii="仿宋_GB2312" w:hAnsi="仿宋_GB2312" w:eastAsia="仿宋_GB2312" w:cs="仿宋_GB2312"/>
          <w:sz w:val="32"/>
          <w:szCs w:val="32"/>
        </w:rPr>
        <w:t>郯城高科技电子产业园、郯城化工产业园。</w:t>
      </w:r>
    </w:p>
    <w:p w14:paraId="1E2CB7A4">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2"/>
          <w:szCs w:val="32"/>
        </w:rPr>
        <w:t>各位领导成员</w:t>
      </w:r>
      <w:r>
        <w:rPr>
          <w:rFonts w:hint="eastAsia" w:ascii="仿宋_GB2312" w:hAnsi="仿宋_GB2312" w:eastAsia="仿宋_GB2312" w:cs="仿宋_GB2312"/>
          <w:sz w:val="32"/>
          <w:szCs w:val="32"/>
          <w:lang w:val="en-US" w:eastAsia="zh-CN"/>
        </w:rPr>
        <w:t>按照“一岗双责”原则，</w:t>
      </w:r>
      <w:r>
        <w:rPr>
          <w:rFonts w:hint="eastAsia" w:ascii="仿宋_GB2312" w:hAnsi="仿宋_GB2312" w:eastAsia="仿宋_GB2312" w:cs="仿宋_GB2312"/>
          <w:sz w:val="32"/>
          <w:szCs w:val="32"/>
        </w:rPr>
        <w:t>负责所分管范围内的安全生产等涉及一票否决的工作。</w:t>
      </w:r>
    </w:p>
    <w:p w14:paraId="2ED253BF">
      <w:pPr>
        <w:pStyle w:val="19"/>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仿宋_GB2312" w:hAnsi="仿宋_GB2312" w:eastAsia="仿宋_GB2312" w:cs="仿宋_GB2312"/>
          <w:color w:val="auto"/>
          <w:sz w:val="32"/>
          <w:szCs w:val="32"/>
        </w:rPr>
      </w:pPr>
    </w:p>
    <w:p w14:paraId="788132CE">
      <w:pPr>
        <w:pStyle w:val="19"/>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p>
    <w:p w14:paraId="4D3C778F">
      <w:pPr>
        <w:pStyle w:val="19"/>
        <w:keepNext w:val="0"/>
        <w:keepLines w:val="0"/>
        <w:pageBreakBefore w:val="0"/>
        <w:widowControl w:val="0"/>
        <w:kinsoku/>
        <w:wordWrap/>
        <w:overflowPunct/>
        <w:topLinePunct w:val="0"/>
        <w:autoSpaceDE/>
        <w:autoSpaceDN/>
        <w:bidi w:val="0"/>
        <w:adjustRightInd/>
        <w:snapToGrid/>
        <w:spacing w:after="0" w:line="580" w:lineRule="exact"/>
        <w:ind w:left="0" w:leftChars="0" w:firstLine="5760" w:firstLineChars="18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auto"/>
          <w:sz w:val="32"/>
          <w:szCs w:val="32"/>
          <w:lang w:val="en-US" w:eastAsia="zh-CN"/>
        </w:rPr>
        <w:t>郯城县人民政</w:t>
      </w:r>
      <w:r>
        <w:rPr>
          <w:rFonts w:hint="eastAsia" w:ascii="仿宋_GB2312" w:hAnsi="仿宋_GB2312" w:eastAsia="仿宋_GB2312" w:cs="仿宋_GB2312"/>
          <w:color w:val="000000"/>
          <w:sz w:val="32"/>
          <w:szCs w:val="32"/>
          <w:lang w:val="en-US" w:eastAsia="zh-CN"/>
        </w:rPr>
        <w:t>府</w:t>
      </w:r>
    </w:p>
    <w:p w14:paraId="7E152D72">
      <w:pPr>
        <w:pStyle w:val="19"/>
        <w:keepNext w:val="0"/>
        <w:keepLines w:val="0"/>
        <w:pageBreakBefore w:val="0"/>
        <w:widowControl w:val="0"/>
        <w:kinsoku/>
        <w:wordWrap/>
        <w:overflowPunct/>
        <w:topLinePunct w:val="0"/>
        <w:autoSpaceDE/>
        <w:autoSpaceDN/>
        <w:bidi w:val="0"/>
        <w:adjustRightInd/>
        <w:snapToGrid/>
        <w:spacing w:after="0" w:line="580" w:lineRule="exact"/>
        <w:ind w:firstLine="5760" w:firstLineChars="18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2025年2月14日</w:t>
      </w:r>
    </w:p>
    <w:p w14:paraId="232223AE">
      <w:pPr>
        <w:pStyle w:val="19"/>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（此件公开发布）</w:t>
      </w:r>
    </w:p>
    <w:p w14:paraId="78209095">
      <w:pPr>
        <w:rPr>
          <w:rFonts w:hint="eastAsia"/>
          <w:lang w:val="en-US" w:eastAsia="zh-CN"/>
        </w:rPr>
      </w:pPr>
      <w:r>
        <w:rPr>
          <w:rFonts w:hint="eastAsia"/>
          <w:lang w:val="en-US" w:eastAsia="zh-CN"/>
        </w:rPr>
        <w:br w:type="page"/>
      </w:r>
    </w:p>
    <w:p w14:paraId="523A7F3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3048DC9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468AD6C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5919B66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4611B97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5234215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04489E4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2E98E2F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郯政办字〔202</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eastAsia="zh-CN"/>
        </w:rPr>
        <w:t>〕1号</w:t>
      </w:r>
    </w:p>
    <w:p w14:paraId="222A8AB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仿宋_GB2312" w:hAnsi="仿宋_GB2312" w:eastAsia="仿宋_GB2312" w:cs="仿宋_GB2312"/>
          <w:sz w:val="32"/>
          <w:szCs w:val="32"/>
        </w:rPr>
      </w:pPr>
    </w:p>
    <w:p w14:paraId="7EDA2AF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kern w:val="2"/>
          <w:sz w:val="44"/>
          <w:szCs w:val="44"/>
          <w:lang w:eastAsia="zh-CN"/>
        </w:rPr>
      </w:pPr>
      <w:r>
        <w:rPr>
          <w:rFonts w:hint="eastAsia" w:ascii="方正小标宋简体" w:hAnsi="方正小标宋简体" w:eastAsia="方正小标宋简体" w:cs="方正小标宋简体"/>
          <w:color w:val="auto"/>
          <w:kern w:val="2"/>
          <w:sz w:val="44"/>
          <w:szCs w:val="44"/>
          <w:lang w:eastAsia="zh-CN"/>
        </w:rPr>
        <w:t>郯城县人民政府办公室</w:t>
      </w:r>
    </w:p>
    <w:p w14:paraId="04D81A0D">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000000"/>
          <w:spacing w:val="0"/>
          <w:sz w:val="44"/>
          <w:szCs w:val="44"/>
          <w:lang w:val="en-US" w:eastAsia="zh-CN"/>
        </w:rPr>
      </w:pPr>
      <w:r>
        <w:rPr>
          <w:rFonts w:hint="eastAsia" w:ascii="方正小标宋简体" w:hAnsi="方正小标宋简体" w:eastAsia="方正小标宋简体" w:cs="方正小标宋简体"/>
          <w:b w:val="0"/>
          <w:bCs w:val="0"/>
          <w:sz w:val="44"/>
          <w:szCs w:val="44"/>
        </w:rPr>
        <w:t>关于</w:t>
      </w:r>
      <w:r>
        <w:rPr>
          <w:rFonts w:hint="eastAsia" w:ascii="方正小标宋简体" w:hAnsi="方正小标宋简体" w:eastAsia="方正小标宋简体" w:cs="方正小标宋简体"/>
          <w:b w:val="0"/>
          <w:bCs w:val="0"/>
          <w:color w:val="000000"/>
          <w:sz w:val="44"/>
          <w:szCs w:val="44"/>
          <w:shd w:val="clear" w:color="auto" w:fill="FFFFFF"/>
        </w:rPr>
        <w:t>印发</w:t>
      </w:r>
      <w:r>
        <w:rPr>
          <w:rFonts w:hint="eastAsia" w:ascii="方正小标宋简体" w:hAnsi="方正小标宋简体" w:eastAsia="方正小标宋简体" w:cs="方正小标宋简体"/>
          <w:b w:val="0"/>
          <w:bCs w:val="0"/>
          <w:color w:val="000000"/>
          <w:sz w:val="44"/>
          <w:szCs w:val="44"/>
          <w:shd w:val="clear" w:color="auto" w:fill="FFFFFF"/>
          <w:lang w:val="en-US" w:eastAsia="zh-CN"/>
        </w:rPr>
        <w:t>《</w:t>
      </w:r>
      <w:r>
        <w:rPr>
          <w:rFonts w:hint="eastAsia" w:ascii="方正小标宋简体" w:hAnsi="方正小标宋简体" w:eastAsia="方正小标宋简体" w:cs="方正小标宋简体"/>
          <w:color w:val="000000"/>
          <w:spacing w:val="0"/>
          <w:sz w:val="44"/>
          <w:szCs w:val="44"/>
          <w:lang w:val="en-US" w:eastAsia="zh-CN"/>
        </w:rPr>
        <w:t>郯城县推进小城镇提升三年行动</w:t>
      </w:r>
    </w:p>
    <w:p w14:paraId="2AAE4F75">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color w:val="000000"/>
          <w:spacing w:val="0"/>
          <w:sz w:val="44"/>
          <w:szCs w:val="44"/>
          <w:lang w:val="en-US" w:eastAsia="zh-CN"/>
        </w:rPr>
        <w:t>实施意见</w:t>
      </w:r>
      <w:r>
        <w:rPr>
          <w:rFonts w:hint="eastAsia" w:ascii="方正小标宋简体" w:hAnsi="方正小标宋简体" w:eastAsia="方正小标宋简体" w:cs="方正小标宋简体"/>
          <w:b w:val="0"/>
          <w:bCs w:val="0"/>
          <w:sz w:val="44"/>
          <w:szCs w:val="44"/>
          <w:lang w:eastAsia="zh-CN"/>
        </w:rPr>
        <w:t>》的通知</w:t>
      </w:r>
    </w:p>
    <w:p w14:paraId="03255B6B">
      <w:pPr>
        <w:keepNext w:val="0"/>
        <w:keepLines w:val="0"/>
        <w:pageBreakBefore w:val="0"/>
        <w:widowControl w:val="0"/>
        <w:tabs>
          <w:tab w:val="left" w:pos="5220"/>
        </w:tabs>
        <w:kinsoku/>
        <w:wordWrap/>
        <w:overflowPunct/>
        <w:topLinePunct w:val="0"/>
        <w:autoSpaceDE/>
        <w:autoSpaceDN/>
        <w:bidi w:val="0"/>
        <w:adjustRightInd/>
        <w:snapToGrid/>
        <w:spacing w:line="600" w:lineRule="exact"/>
        <w:jc w:val="center"/>
        <w:textAlignment w:val="baseline"/>
        <w:rPr>
          <w:b/>
          <w:i/>
          <w:caps/>
        </w:rPr>
      </w:pPr>
    </w:p>
    <w:p w14:paraId="7A870899">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各乡镇人民政府、郯城街道办事处，县直有关部门、单位，新村银杏产业开发区管委会：</w:t>
      </w:r>
    </w:p>
    <w:p w14:paraId="4255CCB1">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《郯城县推进小城镇提升三年行动实施意见》已经县政府研究同意，现印发给你们，请结合实际，认真抓好落实。</w:t>
      </w:r>
    </w:p>
    <w:p w14:paraId="0549076D">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14:paraId="335F6505">
      <w:pPr>
        <w:keepNext w:val="0"/>
        <w:keepLines w:val="0"/>
        <w:pageBreakBefore w:val="0"/>
        <w:widowControl w:val="0"/>
        <w:kinsoku/>
        <w:wordWrap/>
        <w:overflowPunct/>
        <w:topLinePunct w:val="0"/>
        <w:autoSpaceDE/>
        <w:autoSpaceDN/>
        <w:bidi w:val="0"/>
        <w:adjustRightInd/>
        <w:snapToGrid/>
        <w:spacing w:line="600" w:lineRule="exact"/>
        <w:ind w:firstLine="5120" w:firstLineChars="1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郯城县人民政府办公室</w:t>
      </w:r>
    </w:p>
    <w:p w14:paraId="674F273A">
      <w:pPr>
        <w:keepNext w:val="0"/>
        <w:keepLines w:val="0"/>
        <w:pageBreakBefore w:val="0"/>
        <w:widowControl w:val="0"/>
        <w:kinsoku/>
        <w:wordWrap/>
        <w:overflowPunct/>
        <w:topLinePunct w:val="0"/>
        <w:autoSpaceDE/>
        <w:autoSpaceDN/>
        <w:bidi w:val="0"/>
        <w:adjustRightInd/>
        <w:snapToGrid/>
        <w:spacing w:line="600" w:lineRule="exact"/>
        <w:ind w:firstLine="5440" w:firstLineChars="1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default" w:ascii="仿宋_GB2312" w:hAnsi="仿宋_GB2312" w:eastAsia="仿宋_GB2312" w:cs="仿宋_GB2312"/>
          <w:sz w:val="32"/>
          <w:szCs w:val="32"/>
          <w:lang w:val="en-US"/>
        </w:rPr>
        <w:t>5</w:t>
      </w:r>
      <w:r>
        <w:rPr>
          <w:rFonts w:hint="eastAsia" w:ascii="仿宋_GB2312" w:hAnsi="仿宋_GB2312" w:eastAsia="仿宋_GB2312" w:cs="仿宋_GB2312"/>
          <w:sz w:val="32"/>
          <w:szCs w:val="32"/>
        </w:rPr>
        <w:t>年</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日</w:t>
      </w:r>
    </w:p>
    <w:p w14:paraId="3969A3D3">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（此件公开</w:t>
      </w:r>
      <w:r>
        <w:rPr>
          <w:rFonts w:hint="eastAsia" w:ascii="仿宋_GB2312" w:hAnsi="仿宋_GB2312" w:eastAsia="仿宋_GB2312" w:cs="仿宋_GB2312"/>
          <w:sz w:val="32"/>
          <w:szCs w:val="32"/>
        </w:rPr>
        <w:t>发布</w:t>
      </w:r>
      <w:r>
        <w:rPr>
          <w:rFonts w:hint="eastAsia" w:ascii="仿宋_GB2312" w:hAnsi="仿宋_GB2312" w:eastAsia="仿宋_GB2312" w:cs="仿宋_GB2312"/>
          <w:sz w:val="32"/>
          <w:szCs w:val="32"/>
          <w:lang w:val="en-US" w:eastAsia="zh-CN"/>
        </w:rPr>
        <w:t>）</w:t>
      </w:r>
    </w:p>
    <w:p w14:paraId="6814B5A7">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000000"/>
          <w:spacing w:val="0"/>
          <w:sz w:val="44"/>
          <w:szCs w:val="44"/>
          <w:lang w:val="en-US" w:eastAsia="zh-CN"/>
        </w:rPr>
      </w:pPr>
    </w:p>
    <w:p w14:paraId="09AA9046">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000000"/>
          <w:spacing w:val="0"/>
          <w:sz w:val="44"/>
          <w:szCs w:val="44"/>
          <w:lang w:val="en-US" w:eastAsia="zh-CN"/>
        </w:rPr>
      </w:pPr>
      <w:r>
        <w:rPr>
          <w:rFonts w:hint="eastAsia" w:ascii="方正小标宋简体" w:hAnsi="方正小标宋简体" w:eastAsia="方正小标宋简体" w:cs="方正小标宋简体"/>
          <w:color w:val="000000"/>
          <w:spacing w:val="0"/>
          <w:sz w:val="44"/>
          <w:szCs w:val="44"/>
          <w:lang w:val="en-US" w:eastAsia="zh-CN"/>
        </w:rPr>
        <w:t>郯城县推进小城镇提升三年行动实施意见</w:t>
      </w:r>
    </w:p>
    <w:p w14:paraId="5368ED8B">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仿宋_GB2312" w:hAnsi="仿宋_GB2312" w:eastAsia="仿宋_GB2312" w:cs="仿宋_GB2312"/>
          <w:color w:val="000000"/>
          <w:spacing w:val="0"/>
          <w:sz w:val="32"/>
          <w:szCs w:val="32"/>
        </w:rPr>
      </w:pPr>
    </w:p>
    <w:p w14:paraId="38CFA1C5">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仿宋_GB2312" w:hAnsi="仿宋_GB2312" w:eastAsia="仿宋_GB2312" w:cs="仿宋_GB2312"/>
          <w:color w:val="000000"/>
          <w:spacing w:val="0"/>
          <w:sz w:val="32"/>
          <w:szCs w:val="32"/>
        </w:rPr>
        <w:t>为进一步提升全县小城镇建设品质，塑造小城镇形象特色、完善小城镇设施配套、改善小城镇人居环境，推进城乡融合发展，充分发挥小城镇在经济社会发展中的引领、辐射、带动作用，根据《山东省新型城镇化发展纲要（2021-2035年）》（鲁政发〔2022〕1号）、《关于开展小城镇创新提升行动的意见》（鲁政办字〔2022〕169号）、《郯城县关于加快城市更新、实现城建突破三年攻坚行动的实施意见》（郯办发〔2022〕27号）</w:t>
      </w:r>
      <w:r>
        <w:rPr>
          <w:rFonts w:hint="eastAsia" w:ascii="仿宋_GB2312" w:hAnsi="仿宋_GB2312" w:eastAsia="仿宋_GB2312" w:cs="仿宋_GB2312"/>
          <w:color w:val="000000"/>
          <w:spacing w:val="0"/>
          <w:sz w:val="32"/>
          <w:szCs w:val="32"/>
          <w:lang w:eastAsia="zh-CN"/>
        </w:rPr>
        <w:t>、《加快小城镇建设的工作方案》（郯政办字〔2023〕44号）</w:t>
      </w:r>
      <w:r>
        <w:rPr>
          <w:rFonts w:hint="eastAsia" w:ascii="仿宋_GB2312" w:hAnsi="仿宋_GB2312" w:eastAsia="仿宋_GB2312" w:cs="仿宋_GB2312"/>
          <w:color w:val="000000"/>
          <w:spacing w:val="0"/>
          <w:sz w:val="32"/>
          <w:szCs w:val="32"/>
        </w:rPr>
        <w:t>等有关文件精神，结合我县实际，决定在全县开展小城镇提升三年行动，特制定以下实施意见。</w:t>
      </w:r>
    </w:p>
    <w:p w14:paraId="14D89658">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一、总体目标</w:t>
      </w:r>
    </w:p>
    <w:p w14:paraId="4D62C643">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仿宋_GB2312" w:hAnsi="仿宋_GB2312" w:eastAsia="仿宋_GB2312" w:cs="仿宋_GB2312"/>
          <w:color w:val="000000"/>
          <w:spacing w:val="0"/>
          <w:sz w:val="32"/>
          <w:szCs w:val="32"/>
          <w:lang w:val="en-US" w:eastAsia="zh-CN"/>
        </w:rPr>
        <w:t>为</w:t>
      </w:r>
      <w:r>
        <w:rPr>
          <w:rFonts w:hint="eastAsia" w:ascii="仿宋_GB2312" w:hAnsi="仿宋_GB2312" w:eastAsia="仿宋_GB2312" w:cs="仿宋_GB2312"/>
          <w:color w:val="000000"/>
          <w:spacing w:val="0"/>
          <w:sz w:val="32"/>
          <w:szCs w:val="32"/>
        </w:rPr>
        <w:t>深入贯彻习近平新时代中国特色社会主义思想和党的二十大</w:t>
      </w:r>
      <w:r>
        <w:rPr>
          <w:rFonts w:hint="eastAsia" w:ascii="仿宋_GB2312" w:hAnsi="仿宋_GB2312" w:eastAsia="仿宋_GB2312" w:cs="仿宋_GB2312"/>
          <w:color w:val="000000"/>
          <w:spacing w:val="0"/>
          <w:sz w:val="32"/>
          <w:szCs w:val="32"/>
          <w:lang w:val="en-US"/>
        </w:rPr>
        <w:t>、二十届二中、三中全会</w:t>
      </w:r>
      <w:r>
        <w:rPr>
          <w:rFonts w:hint="eastAsia" w:ascii="仿宋_GB2312" w:hAnsi="仿宋_GB2312" w:eastAsia="仿宋_GB2312" w:cs="仿宋_GB2312"/>
          <w:color w:val="000000"/>
          <w:spacing w:val="0"/>
          <w:sz w:val="32"/>
          <w:szCs w:val="32"/>
        </w:rPr>
        <w:t>精神，全面落实中央、省、市新型城镇化决策部署，坚持以人为核心的新型城镇化理念，以城乡融合发展为引领，以提升小城镇驻地建设品质为抓手，坚持科学规划、合理布局、分类指导、突出特色、精心运作、重点突破的方针，统筹推进建筑风貌、景观绿化、基础设施、公共设施发展，</w:t>
      </w:r>
      <w:r>
        <w:rPr>
          <w:rFonts w:hint="eastAsia" w:ascii="仿宋_GB2312" w:hAnsi="仿宋_GB2312" w:eastAsia="仿宋_GB2312" w:cs="仿宋_GB2312"/>
          <w:color w:val="000000"/>
          <w:spacing w:val="0"/>
          <w:sz w:val="32"/>
          <w:szCs w:val="32"/>
          <w:lang w:val="en-US" w:eastAsia="zh-CN"/>
        </w:rPr>
        <w:t>不断</w:t>
      </w:r>
      <w:r>
        <w:rPr>
          <w:rFonts w:hint="eastAsia" w:ascii="仿宋_GB2312" w:hAnsi="仿宋_GB2312" w:eastAsia="仿宋_GB2312" w:cs="仿宋_GB2312"/>
          <w:color w:val="000000"/>
          <w:spacing w:val="0"/>
          <w:sz w:val="32"/>
          <w:szCs w:val="32"/>
        </w:rPr>
        <w:t>加快我县城镇化和城乡一体化进程，全面提高小城镇建设水平，实现小城镇整体面貌焕然一新、建筑风貌特色鲜明、生态环境品质优良、基础设施运营高效、公共设施配置完善，进一步提升小城镇宜居宜业水平</w:t>
      </w:r>
      <w:r>
        <w:rPr>
          <w:rFonts w:hint="eastAsia" w:ascii="仿宋_GB2312" w:hAnsi="仿宋_GB2312" w:eastAsia="仿宋_GB2312" w:cs="仿宋_GB2312"/>
          <w:color w:val="000000"/>
          <w:spacing w:val="0"/>
          <w:sz w:val="32"/>
          <w:szCs w:val="32"/>
          <w:lang w:eastAsia="zh-CN"/>
        </w:rPr>
        <w:t>，</w:t>
      </w:r>
      <w:r>
        <w:rPr>
          <w:rFonts w:hint="eastAsia" w:ascii="仿宋_GB2312" w:hAnsi="仿宋_GB2312" w:eastAsia="仿宋_GB2312" w:cs="仿宋_GB2312"/>
          <w:color w:val="000000"/>
          <w:spacing w:val="0"/>
          <w:sz w:val="32"/>
          <w:szCs w:val="32"/>
        </w:rPr>
        <w:t>不断增强</w:t>
      </w:r>
      <w:r>
        <w:rPr>
          <w:rFonts w:hint="eastAsia" w:ascii="仿宋_GB2312" w:hAnsi="仿宋_GB2312" w:eastAsia="仿宋_GB2312" w:cs="仿宋_GB2312"/>
          <w:color w:val="000000"/>
          <w:spacing w:val="0"/>
          <w:sz w:val="32"/>
          <w:szCs w:val="32"/>
          <w:lang w:val="en-US" w:eastAsia="zh-CN"/>
        </w:rPr>
        <w:t>城镇</w:t>
      </w:r>
      <w:r>
        <w:rPr>
          <w:rFonts w:hint="eastAsia" w:ascii="仿宋_GB2312" w:hAnsi="仿宋_GB2312" w:eastAsia="仿宋_GB2312" w:cs="仿宋_GB2312"/>
          <w:color w:val="000000"/>
          <w:spacing w:val="0"/>
          <w:sz w:val="32"/>
          <w:szCs w:val="32"/>
        </w:rPr>
        <w:t>居民的获得感、幸福感和安全感。</w:t>
      </w:r>
    </w:p>
    <w:p w14:paraId="4185639F">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二、建设原则</w:t>
      </w:r>
    </w:p>
    <w:p w14:paraId="391CBCD8">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highlight w:val="none"/>
          <w:lang w:eastAsia="zh-CN"/>
        </w:rPr>
      </w:pPr>
      <w:r>
        <w:rPr>
          <w:rFonts w:hint="eastAsia" w:ascii="楷体_GB2312" w:hAnsi="楷体_GB2312" w:eastAsia="楷体_GB2312" w:cs="楷体_GB2312"/>
          <w:color w:val="000000"/>
          <w:spacing w:val="0"/>
          <w:sz w:val="32"/>
          <w:szCs w:val="32"/>
        </w:rPr>
        <w:t>（一）尊重民意、注重民生。</w:t>
      </w:r>
      <w:r>
        <w:rPr>
          <w:rFonts w:hint="eastAsia" w:ascii="仿宋_GB2312" w:hAnsi="仿宋_GB2312" w:eastAsia="仿宋_GB2312" w:cs="仿宋_GB2312"/>
          <w:color w:val="000000"/>
          <w:spacing w:val="0"/>
          <w:sz w:val="32"/>
          <w:szCs w:val="32"/>
        </w:rPr>
        <w:t>以全国重点镇、山东省“百镇建设示范行动”示范镇、山东省特色产业镇、山东省县域次中心试点镇为示范引领，坚持推进以人为本的新型城镇化，镇区建设应做到问计于民、问政于民、问情于民、问效于民，积</w:t>
      </w:r>
      <w:r>
        <w:rPr>
          <w:rFonts w:hint="eastAsia" w:ascii="仿宋_GB2312" w:hAnsi="仿宋_GB2312" w:eastAsia="仿宋_GB2312" w:cs="仿宋_GB2312"/>
          <w:color w:val="000000"/>
          <w:spacing w:val="0"/>
          <w:sz w:val="32"/>
          <w:szCs w:val="32"/>
          <w:highlight w:val="none"/>
        </w:rPr>
        <w:t>极推进公众参与，推动镇容镇貌共治共享，集中力量打造一批宜居、宜业、宜游的新型小城镇</w:t>
      </w:r>
      <w:r>
        <w:rPr>
          <w:rFonts w:hint="eastAsia" w:ascii="仿宋_GB2312" w:hAnsi="仿宋_GB2312" w:eastAsia="仿宋_GB2312" w:cs="仿宋_GB2312"/>
          <w:color w:val="000000"/>
          <w:spacing w:val="0"/>
          <w:sz w:val="32"/>
          <w:szCs w:val="32"/>
          <w:highlight w:val="none"/>
          <w:lang w:eastAsia="zh-CN"/>
        </w:rPr>
        <w:t>。</w:t>
      </w:r>
    </w:p>
    <w:p w14:paraId="240A110E">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highlight w:val="none"/>
        </w:rPr>
        <w:t>（二）严守底线、营造格局。</w:t>
      </w:r>
      <w:r>
        <w:rPr>
          <w:rFonts w:hint="eastAsia" w:ascii="仿宋_GB2312" w:hAnsi="仿宋_GB2312" w:eastAsia="仿宋_GB2312" w:cs="仿宋_GB2312"/>
          <w:color w:val="000000"/>
          <w:spacing w:val="0"/>
          <w:sz w:val="32"/>
          <w:szCs w:val="32"/>
          <w:highlight w:val="none"/>
        </w:rPr>
        <w:t>坚持高起点规划、高标准建设和高水平管理，严格落实永久基本农田、生态保护红线、城镇开发边界等约束条件，不得改变镇国土空间总体规划确定的</w:t>
      </w:r>
      <w:r>
        <w:rPr>
          <w:rFonts w:hint="eastAsia" w:ascii="仿宋_GB2312" w:hAnsi="仿宋_GB2312" w:eastAsia="仿宋_GB2312" w:cs="仿宋_GB2312"/>
          <w:color w:val="000000"/>
          <w:spacing w:val="0"/>
          <w:sz w:val="32"/>
          <w:szCs w:val="32"/>
        </w:rPr>
        <w:t>约束性管控内容，按照适度集中、设施配套、功能齐备要求，</w:t>
      </w:r>
      <w:r>
        <w:rPr>
          <w:rFonts w:hint="eastAsia" w:ascii="仿宋_GB2312" w:hAnsi="仿宋_GB2312" w:eastAsia="仿宋_GB2312" w:cs="仿宋_GB2312"/>
          <w:color w:val="000000"/>
          <w:spacing w:val="0"/>
          <w:sz w:val="32"/>
          <w:szCs w:val="32"/>
          <w:lang w:val="en-US" w:eastAsia="zh-CN"/>
        </w:rPr>
        <w:t>注重</w:t>
      </w:r>
      <w:r>
        <w:rPr>
          <w:rFonts w:hint="eastAsia" w:ascii="仿宋_GB2312" w:hAnsi="仿宋_GB2312" w:eastAsia="仿宋_GB2312" w:cs="仿宋_GB2312"/>
          <w:color w:val="000000"/>
          <w:spacing w:val="0"/>
          <w:sz w:val="32"/>
          <w:szCs w:val="32"/>
        </w:rPr>
        <w:t>自然生态、自然景观</w:t>
      </w:r>
      <w:r>
        <w:rPr>
          <w:rFonts w:hint="eastAsia" w:ascii="仿宋_GB2312" w:hAnsi="仿宋_GB2312" w:eastAsia="仿宋_GB2312" w:cs="仿宋_GB2312"/>
          <w:color w:val="000000"/>
          <w:spacing w:val="0"/>
          <w:sz w:val="32"/>
          <w:szCs w:val="32"/>
          <w:lang w:eastAsia="zh-CN"/>
        </w:rPr>
        <w:t>、</w:t>
      </w:r>
      <w:r>
        <w:rPr>
          <w:rFonts w:hint="eastAsia" w:ascii="仿宋_GB2312" w:hAnsi="仿宋_GB2312" w:eastAsia="仿宋_GB2312" w:cs="仿宋_GB2312"/>
          <w:color w:val="000000"/>
          <w:spacing w:val="0"/>
          <w:sz w:val="32"/>
          <w:szCs w:val="32"/>
        </w:rPr>
        <w:t>地方特色和传统风貌</w:t>
      </w:r>
      <w:r>
        <w:rPr>
          <w:rFonts w:hint="eastAsia" w:ascii="仿宋_GB2312" w:hAnsi="仿宋_GB2312" w:eastAsia="仿宋_GB2312" w:cs="仿宋_GB2312"/>
          <w:color w:val="000000"/>
          <w:spacing w:val="0"/>
          <w:sz w:val="32"/>
          <w:szCs w:val="32"/>
          <w:lang w:val="en-US" w:eastAsia="zh-CN"/>
        </w:rPr>
        <w:t>保护，</w:t>
      </w:r>
      <w:r>
        <w:rPr>
          <w:rFonts w:hint="eastAsia" w:ascii="仿宋_GB2312" w:hAnsi="仿宋_GB2312" w:eastAsia="仿宋_GB2312" w:cs="仿宋_GB2312"/>
          <w:color w:val="000000"/>
          <w:spacing w:val="0"/>
          <w:sz w:val="32"/>
          <w:szCs w:val="32"/>
        </w:rPr>
        <w:t>积极推进小城镇绿环、绿心、绿廊、绿道建设，构建小城镇的生态绿地和廊道系统。</w:t>
      </w:r>
    </w:p>
    <w:p w14:paraId="575290F2">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（三）补齐短板、鼓励更新。</w:t>
      </w:r>
      <w:r>
        <w:rPr>
          <w:rFonts w:hint="eastAsia" w:ascii="仿宋_GB2312" w:hAnsi="仿宋_GB2312" w:eastAsia="仿宋_GB2312" w:cs="仿宋_GB2312"/>
          <w:color w:val="000000"/>
          <w:spacing w:val="0"/>
          <w:sz w:val="32"/>
          <w:szCs w:val="32"/>
        </w:rPr>
        <w:t>深入分析小城镇驻地的整体格局、建筑风貌、景观绿化、基础设施和公共设施等现状问题，按照特色鲜明、布局合理、规模适度、功能完善、环境优美</w:t>
      </w:r>
      <w:r>
        <w:rPr>
          <w:rFonts w:hint="eastAsia" w:ascii="仿宋_GB2312" w:hAnsi="仿宋_GB2312" w:eastAsia="仿宋_GB2312" w:cs="仿宋_GB2312"/>
          <w:color w:val="000000"/>
          <w:spacing w:val="0"/>
          <w:sz w:val="32"/>
          <w:szCs w:val="32"/>
          <w:lang w:val="en-US" w:eastAsia="zh-CN"/>
        </w:rPr>
        <w:t>的</w:t>
      </w:r>
      <w:r>
        <w:rPr>
          <w:rFonts w:hint="eastAsia" w:ascii="仿宋_GB2312" w:hAnsi="仿宋_GB2312" w:eastAsia="仿宋_GB2312" w:cs="仿宋_GB2312"/>
          <w:color w:val="000000"/>
          <w:spacing w:val="0"/>
          <w:sz w:val="32"/>
          <w:szCs w:val="32"/>
        </w:rPr>
        <w:t>要求，集中力量解决群众反映的镇容镇貌差、生态环境差和配套设施不足等实际问题，补齐小城镇短板。实施小城镇更新行动，禁止大拆大建，鼓励采用微改造方式，优先利用存量空间完善城镇功能，深入挖掘各自优势，加快特色经济发展，打造一批产业鲜明、环境优美、各具特色的小城镇。</w:t>
      </w:r>
    </w:p>
    <w:p w14:paraId="3ED3101D">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（四）塑造特色、提升品质。</w:t>
      </w:r>
      <w:r>
        <w:rPr>
          <w:rFonts w:hint="eastAsia" w:ascii="仿宋_GB2312" w:hAnsi="仿宋_GB2312" w:eastAsia="仿宋_GB2312" w:cs="仿宋_GB2312"/>
          <w:color w:val="000000"/>
          <w:spacing w:val="0"/>
          <w:sz w:val="32"/>
          <w:szCs w:val="32"/>
        </w:rPr>
        <w:t>挖掘和保护历史文化资源，延续文化脉络，打造山地丘陵、滨水、平原等不同地域的小城镇景观，塑造地方特色，形成独具魅力的小城镇形象。建立健全标准化、精细化、特色化的建设模式，以标准促建设，以精细促质量，以特色促品质，提升小城镇的建设品质。</w:t>
      </w:r>
    </w:p>
    <w:p w14:paraId="5ACBE246">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三、重点任务</w:t>
      </w:r>
    </w:p>
    <w:p w14:paraId="2F9394EA">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（一）以科学规划为先导，引领城镇建设。</w:t>
      </w:r>
      <w:r>
        <w:rPr>
          <w:rFonts w:hint="eastAsia" w:ascii="仿宋_GB2312" w:hAnsi="仿宋_GB2312" w:eastAsia="仿宋_GB2312" w:cs="仿宋_GB2312"/>
          <w:color w:val="000000"/>
          <w:spacing w:val="0"/>
          <w:sz w:val="32"/>
          <w:szCs w:val="32"/>
        </w:rPr>
        <w:t>充分发挥规划的龙头引领和基础作用，进一步修订完善小城镇总体规划、控制性详规、修建性详规等各类规划，优化小城镇生产、生活、生态空间布局，重点解决功能区布局混乱、碎片化改造等问题，加快形成布局合理、分工明确、功能互补、城乡互动的现代城镇体系。</w:t>
      </w:r>
      <w:r>
        <w:rPr>
          <w:rFonts w:hint="eastAsia" w:ascii="仿宋_GB2312" w:hAnsi="仿宋_GB2312" w:eastAsia="仿宋_GB2312" w:cs="仿宋_GB2312"/>
          <w:color w:val="000000"/>
          <w:spacing w:val="0"/>
          <w:sz w:val="32"/>
          <w:szCs w:val="32"/>
          <w:lang w:val="en-US"/>
        </w:rPr>
        <w:t>结合实际，</w:t>
      </w:r>
      <w:r>
        <w:rPr>
          <w:rFonts w:hint="eastAsia" w:ascii="仿宋_GB2312" w:hAnsi="仿宋_GB2312" w:eastAsia="仿宋_GB2312" w:cs="仿宋_GB2312"/>
          <w:color w:val="000000"/>
          <w:spacing w:val="0"/>
          <w:sz w:val="32"/>
          <w:szCs w:val="32"/>
        </w:rPr>
        <w:t>科学制定小城镇提升三年实施方案，实施方案要以镇容镇貌提升为重点，科学编制，突出特色，切实可行，不盲目追求“高大上”，鼓励建设“小微精”，倡导突出“一镇一特色”。要围绕推进建筑风貌、景观绿化、基础设施、公共设施开展规划设计，积极构建涵盖特色公园、主干道路、</w:t>
      </w:r>
      <w:r>
        <w:rPr>
          <w:rFonts w:hint="eastAsia" w:ascii="仿宋_GB2312" w:hAnsi="仿宋_GB2312" w:eastAsia="仿宋_GB2312" w:cs="仿宋_GB2312"/>
          <w:color w:val="000000"/>
          <w:spacing w:val="0"/>
          <w:sz w:val="32"/>
          <w:szCs w:val="32"/>
          <w:lang w:val="en-US" w:eastAsia="zh-CN"/>
        </w:rPr>
        <w:t>乡</w:t>
      </w:r>
      <w:r>
        <w:rPr>
          <w:rFonts w:hint="eastAsia" w:ascii="仿宋_GB2312" w:hAnsi="仿宋_GB2312" w:eastAsia="仿宋_GB2312" w:cs="仿宋_GB2312"/>
          <w:color w:val="000000"/>
          <w:spacing w:val="0"/>
          <w:sz w:val="32"/>
          <w:szCs w:val="32"/>
        </w:rPr>
        <w:t>镇</w:t>
      </w:r>
      <w:r>
        <w:rPr>
          <w:rFonts w:hint="eastAsia" w:ascii="仿宋_GB2312" w:hAnsi="仿宋_GB2312" w:eastAsia="仿宋_GB2312" w:cs="仿宋_GB2312"/>
          <w:color w:val="000000"/>
          <w:spacing w:val="0"/>
          <w:sz w:val="32"/>
          <w:szCs w:val="32"/>
          <w:lang w:val="en-US" w:eastAsia="zh-CN"/>
        </w:rPr>
        <w:t>便民服务会客厅</w:t>
      </w:r>
      <w:r>
        <w:rPr>
          <w:rFonts w:hint="eastAsia" w:ascii="仿宋_GB2312" w:hAnsi="仿宋_GB2312" w:eastAsia="仿宋_GB2312" w:cs="仿宋_GB2312"/>
          <w:color w:val="000000"/>
          <w:spacing w:val="0"/>
          <w:sz w:val="32"/>
          <w:szCs w:val="32"/>
        </w:rPr>
        <w:t>、商业街区四大建设要素的“魅力特色发展路径”，相关规划设计方案要有项目依托，要有完成时限，确保三年完成。</w:t>
      </w:r>
    </w:p>
    <w:p w14:paraId="1B166583">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（二）以培育特色为支撑，建设美丽城镇。</w:t>
      </w:r>
      <w:r>
        <w:rPr>
          <w:rFonts w:hint="eastAsia" w:ascii="仿宋_GB2312" w:hAnsi="仿宋_GB2312" w:eastAsia="仿宋_GB2312" w:cs="仿宋_GB2312"/>
          <w:color w:val="000000"/>
          <w:spacing w:val="0"/>
          <w:sz w:val="32"/>
          <w:szCs w:val="32"/>
        </w:rPr>
        <w:t>严格按照国家、省、市关于特色小城镇创建试点标准要求，坚持分类指导、示范带动、梯次推进、共同发展的思路，加大用地、财政、金融、产业、人才等政策支持，打造一批产业特而强、功能聚而合、形态小而美、机制新而活的特色小镇，叫响文旅、柳编、</w:t>
      </w:r>
      <w:r>
        <w:rPr>
          <w:rFonts w:hint="eastAsia" w:ascii="仿宋_GB2312" w:hAnsi="仿宋_GB2312" w:eastAsia="仿宋_GB2312" w:cs="仿宋_GB2312"/>
          <w:color w:val="000000"/>
          <w:spacing w:val="0"/>
          <w:sz w:val="32"/>
          <w:szCs w:val="32"/>
          <w:lang w:val="en-US" w:eastAsia="zh-CN"/>
        </w:rPr>
        <w:t>草</w:t>
      </w:r>
      <w:r>
        <w:rPr>
          <w:rFonts w:hint="eastAsia" w:ascii="仿宋_GB2312" w:hAnsi="仿宋_GB2312" w:eastAsia="仿宋_GB2312" w:cs="仿宋_GB2312"/>
          <w:color w:val="000000"/>
          <w:spacing w:val="0"/>
          <w:sz w:val="32"/>
          <w:szCs w:val="32"/>
        </w:rPr>
        <w:t>莓、</w:t>
      </w:r>
      <w:r>
        <w:rPr>
          <w:rFonts w:hint="eastAsia" w:ascii="仿宋_GB2312" w:hAnsi="仿宋_GB2312" w:eastAsia="仿宋_GB2312" w:cs="仿宋_GB2312"/>
          <w:color w:val="000000"/>
          <w:spacing w:val="0"/>
          <w:sz w:val="32"/>
          <w:szCs w:val="32"/>
          <w:lang w:val="en-US" w:eastAsia="zh-CN"/>
        </w:rPr>
        <w:t>木塑</w:t>
      </w:r>
      <w:r>
        <w:rPr>
          <w:rFonts w:hint="eastAsia" w:ascii="仿宋_GB2312" w:hAnsi="仿宋_GB2312" w:eastAsia="仿宋_GB2312" w:cs="仿宋_GB2312"/>
          <w:color w:val="000000"/>
          <w:spacing w:val="0"/>
          <w:sz w:val="32"/>
          <w:szCs w:val="32"/>
        </w:rPr>
        <w:t>等镇街品牌。深化新型城镇化建设，发挥镇驻地连接城乡的节点作用，不断增强辐射带动力。</w:t>
      </w:r>
    </w:p>
    <w:p w14:paraId="1B0F0D3A">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（三）以基础设施建设为平台，增强承载能力。</w:t>
      </w:r>
      <w:r>
        <w:rPr>
          <w:rFonts w:hint="eastAsia" w:ascii="仿宋_GB2312" w:hAnsi="仿宋_GB2312" w:eastAsia="仿宋_GB2312" w:cs="仿宋_GB2312"/>
          <w:color w:val="000000"/>
          <w:spacing w:val="0"/>
          <w:sz w:val="32"/>
          <w:szCs w:val="32"/>
        </w:rPr>
        <w:t>大力实施一批小城镇建设提升改造工程，进一步完善道路、通信、电力、给排水、垃圾处理、污水处理等市政基础设施，推动城市基础设施和公共服务向城镇延伸，提高城镇的综合承载能力。进一步建设具有镇域特色的镇区公园、健身广场、商业街区等，优化小城镇生产生活空间，提高小城镇吸纳能力，鼓励农村人口向小城镇驻地、镇域次中心（原乡镇驻地）集聚，全面提升城镇化水平，实现农业转移人口市民化、城镇要素配置合理化、城镇基本公共服务均等化、城镇基础设施建管一体化，形成城镇高度融合、共同繁荣新局面。</w:t>
      </w:r>
    </w:p>
    <w:p w14:paraId="4114DD6A">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（四）以精细管理为目标，加强城镇管理。</w:t>
      </w:r>
      <w:r>
        <w:rPr>
          <w:rFonts w:hint="eastAsia" w:ascii="仿宋_GB2312" w:hAnsi="仿宋_GB2312" w:eastAsia="仿宋_GB2312" w:cs="仿宋_GB2312"/>
          <w:color w:val="000000"/>
          <w:spacing w:val="0"/>
          <w:sz w:val="32"/>
          <w:szCs w:val="32"/>
        </w:rPr>
        <w:t>建立健全“权责明确、范围清晰、任务落实、运转协调、监管到位”的现代化小城镇管理机制，深入推进城管执法人员“重心下移”，进一步细化小城镇的镇容管理标准、管理责任，定路段区域、定目标任务、定执法人员，严格落实网格化管理，重点打造一批小城镇精品街区、示范园区。在小城镇驻地常态化开展城镇交通秩序、市容环境、户外广告、占道经营、乱停乱放等专项整治，实现小城镇管理的精细化。</w:t>
      </w:r>
    </w:p>
    <w:p w14:paraId="7A011EFD">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黑体" w:hAnsi="黑体" w:eastAsia="黑体" w:cs="黑体"/>
          <w:color w:val="000000"/>
          <w:spacing w:val="0"/>
          <w:sz w:val="32"/>
          <w:szCs w:val="32"/>
        </w:rPr>
      </w:pPr>
      <w:r>
        <w:rPr>
          <w:rFonts w:hint="eastAsia" w:ascii="黑体" w:hAnsi="黑体" w:eastAsia="黑体" w:cs="黑体"/>
          <w:color w:val="000000"/>
          <w:spacing w:val="0"/>
          <w:sz w:val="32"/>
          <w:szCs w:val="32"/>
        </w:rPr>
        <w:t>四、保障措施</w:t>
      </w:r>
    </w:p>
    <w:p w14:paraId="0967F269">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（一）强化组织保障。</w:t>
      </w:r>
      <w:r>
        <w:rPr>
          <w:rFonts w:hint="eastAsia" w:ascii="仿宋_GB2312" w:hAnsi="仿宋_GB2312" w:eastAsia="仿宋_GB2312" w:cs="仿宋_GB2312"/>
          <w:color w:val="000000"/>
          <w:spacing w:val="0"/>
          <w:sz w:val="32"/>
          <w:szCs w:val="32"/>
        </w:rPr>
        <w:t>成立</w:t>
      </w:r>
      <w:r>
        <w:rPr>
          <w:rFonts w:hint="eastAsia" w:ascii="仿宋_GB2312" w:hAnsi="仿宋_GB2312" w:eastAsia="仿宋_GB2312" w:cs="仿宋_GB2312"/>
          <w:color w:val="000000"/>
          <w:spacing w:val="0"/>
          <w:sz w:val="32"/>
          <w:szCs w:val="32"/>
          <w:lang w:eastAsia="zh-CN"/>
        </w:rPr>
        <w:t>郯城</w:t>
      </w:r>
      <w:r>
        <w:rPr>
          <w:rFonts w:hint="eastAsia" w:ascii="仿宋_GB2312" w:hAnsi="仿宋_GB2312" w:eastAsia="仿宋_GB2312" w:cs="仿宋_GB2312"/>
          <w:color w:val="000000"/>
          <w:spacing w:val="0"/>
          <w:sz w:val="32"/>
          <w:szCs w:val="32"/>
        </w:rPr>
        <w:t>县小城镇提升三年行动工作领导小组，完善日常办事机构，全面负责工作的组织协调、综合规划、政策制定和监督考核等职能，研究解决推进小城镇提升建设工作中的各种问题，确保各项政策措施落实到位。县小城镇提升三年行动工作领导小组将按年度对本《实施意见》实行任务细化分解，并作为每年度各</w:t>
      </w:r>
      <w:r>
        <w:rPr>
          <w:rFonts w:hint="eastAsia" w:ascii="仿宋_GB2312" w:hAnsi="仿宋_GB2312" w:eastAsia="仿宋_GB2312" w:cs="仿宋_GB2312"/>
          <w:color w:val="000000"/>
          <w:spacing w:val="0"/>
          <w:sz w:val="32"/>
          <w:szCs w:val="32"/>
          <w:lang w:val="en-US" w:eastAsia="zh-CN"/>
        </w:rPr>
        <w:t>乡</w:t>
      </w:r>
      <w:r>
        <w:rPr>
          <w:rFonts w:hint="eastAsia" w:ascii="仿宋_GB2312" w:hAnsi="仿宋_GB2312" w:eastAsia="仿宋_GB2312" w:cs="仿宋_GB2312"/>
          <w:color w:val="000000"/>
          <w:spacing w:val="0"/>
          <w:sz w:val="32"/>
          <w:szCs w:val="32"/>
        </w:rPr>
        <w:t>镇</w:t>
      </w:r>
      <w:r>
        <w:rPr>
          <w:rFonts w:hint="eastAsia" w:ascii="仿宋_GB2312" w:hAnsi="仿宋_GB2312" w:eastAsia="仿宋_GB2312" w:cs="仿宋_GB2312"/>
          <w:color w:val="000000"/>
          <w:spacing w:val="0"/>
          <w:sz w:val="32"/>
          <w:szCs w:val="32"/>
          <w:lang w:eastAsia="zh-CN"/>
        </w:rPr>
        <w:t>（</w:t>
      </w:r>
      <w:r>
        <w:rPr>
          <w:rFonts w:hint="eastAsia" w:ascii="仿宋_GB2312" w:hAnsi="仿宋_GB2312" w:eastAsia="仿宋_GB2312" w:cs="仿宋_GB2312"/>
          <w:color w:val="000000"/>
          <w:spacing w:val="0"/>
          <w:sz w:val="32"/>
          <w:szCs w:val="32"/>
          <w:lang w:val="en-US" w:eastAsia="zh-CN"/>
        </w:rPr>
        <w:t>街道、开发区</w:t>
      </w:r>
      <w:r>
        <w:rPr>
          <w:rFonts w:hint="eastAsia" w:ascii="仿宋_GB2312" w:hAnsi="仿宋_GB2312" w:eastAsia="仿宋_GB2312" w:cs="仿宋_GB2312"/>
          <w:color w:val="000000"/>
          <w:spacing w:val="0"/>
          <w:sz w:val="32"/>
          <w:szCs w:val="32"/>
          <w:lang w:eastAsia="zh-CN"/>
        </w:rPr>
        <w:t>）</w:t>
      </w:r>
      <w:r>
        <w:rPr>
          <w:rFonts w:hint="eastAsia" w:ascii="仿宋_GB2312" w:hAnsi="仿宋_GB2312" w:eastAsia="仿宋_GB2312" w:cs="仿宋_GB2312"/>
          <w:color w:val="000000"/>
          <w:spacing w:val="0"/>
          <w:sz w:val="32"/>
          <w:szCs w:val="32"/>
        </w:rPr>
        <w:t>、县直有关部门综合考核的重要内容。</w:t>
      </w:r>
    </w:p>
    <w:p w14:paraId="63974F85">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（二）坚持规划引领。</w:t>
      </w:r>
      <w:r>
        <w:rPr>
          <w:rFonts w:hint="eastAsia" w:ascii="仿宋_GB2312" w:hAnsi="仿宋_GB2312" w:eastAsia="仿宋_GB2312" w:cs="仿宋_GB2312"/>
          <w:color w:val="000000"/>
          <w:spacing w:val="0"/>
          <w:sz w:val="32"/>
          <w:szCs w:val="32"/>
        </w:rPr>
        <w:t>各</w:t>
      </w:r>
      <w:r>
        <w:rPr>
          <w:rFonts w:hint="eastAsia" w:ascii="仿宋_GB2312" w:hAnsi="仿宋_GB2312" w:eastAsia="仿宋_GB2312" w:cs="仿宋_GB2312"/>
          <w:color w:val="000000"/>
          <w:spacing w:val="0"/>
          <w:sz w:val="32"/>
          <w:szCs w:val="32"/>
          <w:lang w:val="en-US"/>
        </w:rPr>
        <w:t>乡</w:t>
      </w:r>
      <w:r>
        <w:rPr>
          <w:rFonts w:hint="eastAsia" w:ascii="仿宋_GB2312" w:hAnsi="仿宋_GB2312" w:eastAsia="仿宋_GB2312" w:cs="仿宋_GB2312"/>
          <w:color w:val="000000"/>
          <w:spacing w:val="0"/>
          <w:sz w:val="32"/>
          <w:szCs w:val="32"/>
        </w:rPr>
        <w:t>镇</w:t>
      </w:r>
      <w:r>
        <w:rPr>
          <w:rFonts w:hint="eastAsia" w:ascii="仿宋_GB2312" w:hAnsi="仿宋_GB2312" w:eastAsia="仿宋_GB2312" w:cs="仿宋_GB2312"/>
          <w:color w:val="000000"/>
          <w:spacing w:val="0"/>
          <w:sz w:val="32"/>
          <w:szCs w:val="32"/>
          <w:lang w:val="en-US"/>
        </w:rPr>
        <w:t>（街道、开发区）</w:t>
      </w:r>
      <w:r>
        <w:rPr>
          <w:rFonts w:hint="eastAsia" w:ascii="仿宋_GB2312" w:hAnsi="仿宋_GB2312" w:eastAsia="仿宋_GB2312" w:cs="仿宋_GB2312"/>
          <w:color w:val="000000"/>
          <w:spacing w:val="0"/>
          <w:sz w:val="32"/>
          <w:szCs w:val="32"/>
        </w:rPr>
        <w:t>要加快推进小城镇各项规划的修编完善，尽快完成小城镇提升三年行动实施方案的编制，严格按照《山东省小城镇镇区提升建设指引（试行）》进行规划引导。三年行动实施方案和相关规划设计方案需</w:t>
      </w:r>
      <w:r>
        <w:rPr>
          <w:rFonts w:hint="eastAsia" w:ascii="仿宋_GB2312" w:hAnsi="仿宋_GB2312" w:eastAsia="仿宋_GB2312" w:cs="仿宋_GB2312"/>
          <w:color w:val="000000"/>
          <w:spacing w:val="0"/>
          <w:sz w:val="32"/>
          <w:szCs w:val="32"/>
          <w:lang w:val="en-US" w:eastAsia="zh-CN"/>
        </w:rPr>
        <w:t>提报</w:t>
      </w:r>
      <w:r>
        <w:rPr>
          <w:rFonts w:hint="eastAsia" w:ascii="仿宋_GB2312" w:hAnsi="仿宋_GB2312" w:eastAsia="仿宋_GB2312" w:cs="仿宋_GB2312"/>
          <w:color w:val="000000"/>
          <w:spacing w:val="0"/>
          <w:sz w:val="32"/>
          <w:szCs w:val="32"/>
        </w:rPr>
        <w:t>小城镇提升三年行动工作领导小组及县规划委员会审核</w:t>
      </w:r>
      <w:r>
        <w:rPr>
          <w:rFonts w:hint="eastAsia" w:ascii="仿宋_GB2312" w:hAnsi="仿宋_GB2312" w:eastAsia="仿宋_GB2312" w:cs="仿宋_GB2312"/>
          <w:color w:val="000000"/>
          <w:spacing w:val="0"/>
          <w:sz w:val="32"/>
          <w:szCs w:val="32"/>
          <w:lang w:val="en-US"/>
        </w:rPr>
        <w:t>，</w:t>
      </w:r>
      <w:r>
        <w:rPr>
          <w:rFonts w:hint="eastAsia" w:ascii="仿宋_GB2312" w:hAnsi="仿宋_GB2312" w:eastAsia="仿宋_GB2312" w:cs="仿宋_GB2312"/>
          <w:color w:val="000000"/>
          <w:spacing w:val="0"/>
          <w:sz w:val="32"/>
          <w:szCs w:val="32"/>
        </w:rPr>
        <w:t>通过</w:t>
      </w:r>
      <w:r>
        <w:rPr>
          <w:rFonts w:hint="eastAsia" w:ascii="仿宋_GB2312" w:hAnsi="仿宋_GB2312" w:eastAsia="仿宋_GB2312" w:cs="仿宋_GB2312"/>
          <w:color w:val="000000"/>
          <w:spacing w:val="0"/>
          <w:sz w:val="32"/>
          <w:szCs w:val="32"/>
          <w:lang w:val="en-US"/>
        </w:rPr>
        <w:t>后</w:t>
      </w:r>
      <w:r>
        <w:rPr>
          <w:rFonts w:hint="eastAsia" w:ascii="仿宋_GB2312" w:hAnsi="仿宋_GB2312" w:eastAsia="仿宋_GB2312" w:cs="仿宋_GB2312"/>
          <w:color w:val="000000"/>
          <w:spacing w:val="0"/>
          <w:sz w:val="32"/>
          <w:szCs w:val="32"/>
        </w:rPr>
        <w:t>组织实施，实施过程中要严格按照规划设计进行提升建设，不得随意变化，保持规划设计的刚性。</w:t>
      </w:r>
    </w:p>
    <w:p w14:paraId="1FCAE471">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（三）实施典型带动。</w:t>
      </w:r>
      <w:r>
        <w:rPr>
          <w:rFonts w:hint="eastAsia" w:ascii="仿宋_GB2312" w:hAnsi="仿宋_GB2312" w:eastAsia="仿宋_GB2312" w:cs="仿宋_GB2312"/>
          <w:color w:val="000000"/>
          <w:spacing w:val="0"/>
          <w:sz w:val="32"/>
          <w:szCs w:val="32"/>
        </w:rPr>
        <w:t>按照提升三年行动实施方案和规划设计的修编进度、设计质量、推进速度等情况，分年度、分梯次选定典型示范小城镇进行重点奖补，时间不分先后，各</w:t>
      </w:r>
      <w:r>
        <w:rPr>
          <w:rFonts w:hint="eastAsia" w:ascii="仿宋_GB2312" w:hAnsi="仿宋_GB2312" w:eastAsia="仿宋_GB2312" w:cs="仿宋_GB2312"/>
          <w:color w:val="000000"/>
          <w:spacing w:val="0"/>
          <w:sz w:val="32"/>
          <w:szCs w:val="32"/>
          <w:lang w:val="en-US"/>
        </w:rPr>
        <w:t>乡</w:t>
      </w:r>
      <w:r>
        <w:rPr>
          <w:rFonts w:hint="eastAsia" w:ascii="仿宋_GB2312" w:hAnsi="仿宋_GB2312" w:eastAsia="仿宋_GB2312" w:cs="仿宋_GB2312"/>
          <w:color w:val="000000"/>
          <w:spacing w:val="0"/>
          <w:sz w:val="32"/>
          <w:szCs w:val="32"/>
        </w:rPr>
        <w:t>镇</w:t>
      </w:r>
      <w:r>
        <w:rPr>
          <w:rFonts w:hint="eastAsia" w:ascii="仿宋_GB2312" w:hAnsi="仿宋_GB2312" w:eastAsia="仿宋_GB2312" w:cs="仿宋_GB2312"/>
          <w:color w:val="000000"/>
          <w:spacing w:val="0"/>
          <w:sz w:val="32"/>
          <w:szCs w:val="32"/>
          <w:lang w:val="en-US"/>
        </w:rPr>
        <w:t>（街道、开发区）</w:t>
      </w:r>
      <w:r>
        <w:rPr>
          <w:rFonts w:hint="eastAsia" w:ascii="仿宋_GB2312" w:hAnsi="仿宋_GB2312" w:eastAsia="仿宋_GB2312" w:cs="仿宋_GB2312"/>
          <w:color w:val="000000"/>
          <w:spacing w:val="0"/>
          <w:sz w:val="32"/>
          <w:szCs w:val="32"/>
        </w:rPr>
        <w:t>同步启动，成熟一个建设完成一个，确保利用三年时间，全面完成县域内小城镇驻地改造提升任务。</w:t>
      </w:r>
    </w:p>
    <w:p w14:paraId="7E299CB8">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楷体_GB2312" w:hAnsi="楷体_GB2312" w:eastAsia="楷体_GB2312" w:cs="楷体_GB2312"/>
          <w:color w:val="000000"/>
          <w:spacing w:val="0"/>
          <w:sz w:val="32"/>
          <w:szCs w:val="32"/>
        </w:rPr>
        <w:t>（四）落实资金保障。</w:t>
      </w:r>
      <w:r>
        <w:rPr>
          <w:rFonts w:hint="eastAsia" w:ascii="仿宋_GB2312" w:hAnsi="仿宋_GB2312" w:eastAsia="仿宋_GB2312" w:cs="仿宋_GB2312"/>
          <w:color w:val="000000"/>
          <w:spacing w:val="0"/>
          <w:sz w:val="32"/>
          <w:szCs w:val="32"/>
        </w:rPr>
        <w:t>县财政</w:t>
      </w:r>
      <w:r>
        <w:rPr>
          <w:rFonts w:hint="eastAsia" w:ascii="仿宋_GB2312" w:hAnsi="仿宋_GB2312" w:eastAsia="仿宋_GB2312" w:cs="仿宋_GB2312"/>
          <w:color w:val="000000"/>
          <w:spacing w:val="0"/>
          <w:sz w:val="32"/>
          <w:szCs w:val="32"/>
          <w:lang w:val="en-US"/>
        </w:rPr>
        <w:t>每年</w:t>
      </w:r>
      <w:r>
        <w:rPr>
          <w:rFonts w:hint="eastAsia" w:ascii="仿宋_GB2312" w:hAnsi="仿宋_GB2312" w:eastAsia="仿宋_GB2312" w:cs="仿宋_GB2312"/>
          <w:color w:val="000000"/>
          <w:spacing w:val="0"/>
          <w:sz w:val="32"/>
          <w:szCs w:val="32"/>
        </w:rPr>
        <w:t>安排</w:t>
      </w:r>
      <w:r>
        <w:rPr>
          <w:rFonts w:hint="eastAsia" w:ascii="仿宋_GB2312" w:hAnsi="仿宋_GB2312" w:eastAsia="仿宋_GB2312" w:cs="仿宋_GB2312"/>
          <w:color w:val="000000"/>
          <w:spacing w:val="0"/>
          <w:sz w:val="32"/>
          <w:szCs w:val="32"/>
          <w:lang w:val="en-US" w:eastAsia="zh-CN"/>
        </w:rPr>
        <w:t>300万</w:t>
      </w:r>
      <w:r>
        <w:rPr>
          <w:rFonts w:hint="eastAsia" w:ascii="仿宋_GB2312" w:hAnsi="仿宋_GB2312" w:eastAsia="仿宋_GB2312" w:cs="仿宋_GB2312"/>
          <w:color w:val="000000"/>
          <w:spacing w:val="0"/>
          <w:sz w:val="32"/>
          <w:szCs w:val="32"/>
        </w:rPr>
        <w:t>元专项资金，采取奖补的方式对小城镇提升三年行动工作给予资金扶持</w:t>
      </w:r>
      <w:r>
        <w:rPr>
          <w:rFonts w:hint="eastAsia" w:ascii="仿宋_GB2312" w:hAnsi="仿宋_GB2312" w:eastAsia="仿宋_GB2312" w:cs="仿宋_GB2312"/>
          <w:color w:val="000000"/>
          <w:spacing w:val="0"/>
          <w:sz w:val="32"/>
          <w:szCs w:val="32"/>
          <w:lang w:val="en-US"/>
        </w:rPr>
        <w:t>。</w:t>
      </w:r>
      <w:r>
        <w:rPr>
          <w:rFonts w:hint="eastAsia" w:ascii="仿宋_GB2312" w:hAnsi="仿宋_GB2312" w:eastAsia="仿宋_GB2312" w:cs="仿宋_GB2312"/>
          <w:color w:val="000000"/>
          <w:spacing w:val="0"/>
          <w:sz w:val="32"/>
          <w:szCs w:val="32"/>
        </w:rPr>
        <w:t>县财政局、</w:t>
      </w:r>
      <w:r>
        <w:rPr>
          <w:rFonts w:hint="eastAsia" w:ascii="仿宋_GB2312" w:hAnsi="仿宋_GB2312" w:eastAsia="仿宋_GB2312" w:cs="仿宋_GB2312"/>
          <w:color w:val="000000"/>
          <w:spacing w:val="0"/>
          <w:sz w:val="32"/>
          <w:szCs w:val="32"/>
          <w:lang w:val="en-US" w:eastAsia="zh-CN"/>
        </w:rPr>
        <w:t>县发改局、</w:t>
      </w:r>
      <w:r>
        <w:rPr>
          <w:rFonts w:hint="eastAsia" w:ascii="仿宋_GB2312" w:hAnsi="仿宋_GB2312" w:eastAsia="仿宋_GB2312" w:cs="仿宋_GB2312"/>
          <w:color w:val="000000"/>
          <w:spacing w:val="0"/>
          <w:sz w:val="32"/>
          <w:szCs w:val="32"/>
        </w:rPr>
        <w:t>县住建局组成小城镇提升行动指导组，对各</w:t>
      </w:r>
      <w:r>
        <w:rPr>
          <w:rFonts w:hint="eastAsia" w:ascii="仿宋_GB2312" w:hAnsi="仿宋_GB2312" w:eastAsia="仿宋_GB2312" w:cs="仿宋_GB2312"/>
          <w:color w:val="000000"/>
          <w:spacing w:val="0"/>
          <w:sz w:val="32"/>
          <w:szCs w:val="32"/>
          <w:lang w:val="en-US"/>
        </w:rPr>
        <w:t>乡</w:t>
      </w:r>
      <w:r>
        <w:rPr>
          <w:rFonts w:hint="eastAsia" w:ascii="仿宋_GB2312" w:hAnsi="仿宋_GB2312" w:eastAsia="仿宋_GB2312" w:cs="仿宋_GB2312"/>
          <w:color w:val="000000"/>
          <w:spacing w:val="0"/>
          <w:sz w:val="32"/>
          <w:szCs w:val="32"/>
        </w:rPr>
        <w:t>镇</w:t>
      </w:r>
      <w:r>
        <w:rPr>
          <w:rFonts w:hint="eastAsia" w:ascii="仿宋_GB2312" w:hAnsi="仿宋_GB2312" w:eastAsia="仿宋_GB2312" w:cs="仿宋_GB2312"/>
          <w:color w:val="000000"/>
          <w:spacing w:val="0"/>
          <w:sz w:val="32"/>
          <w:szCs w:val="32"/>
          <w:lang w:val="en-US"/>
        </w:rPr>
        <w:t>（街道、开发区）</w:t>
      </w:r>
      <w:r>
        <w:rPr>
          <w:rFonts w:hint="eastAsia" w:ascii="仿宋_GB2312" w:hAnsi="仿宋_GB2312" w:eastAsia="仿宋_GB2312" w:cs="仿宋_GB2312"/>
          <w:color w:val="000000"/>
          <w:spacing w:val="0"/>
          <w:sz w:val="32"/>
          <w:szCs w:val="32"/>
        </w:rPr>
        <w:t>小城镇提升行动的设计、评审、招投标、施工、验收等进行事前、事中、事后指导监管。同时，积极向上争取省市资金，多渠道开展小城镇建设提升奖补；县奖补资金根据各</w:t>
      </w:r>
      <w:r>
        <w:rPr>
          <w:rFonts w:hint="eastAsia" w:ascii="仿宋_GB2312" w:hAnsi="仿宋_GB2312" w:eastAsia="仿宋_GB2312" w:cs="仿宋_GB2312"/>
          <w:color w:val="000000"/>
          <w:spacing w:val="0"/>
          <w:sz w:val="32"/>
          <w:szCs w:val="32"/>
          <w:lang w:val="en-US" w:eastAsia="zh-CN"/>
        </w:rPr>
        <w:t>乡镇</w:t>
      </w:r>
      <w:r>
        <w:rPr>
          <w:rFonts w:hint="eastAsia" w:ascii="仿宋_GB2312" w:hAnsi="仿宋_GB2312" w:eastAsia="仿宋_GB2312" w:cs="仿宋_GB2312"/>
          <w:color w:val="000000"/>
          <w:spacing w:val="0"/>
          <w:sz w:val="32"/>
          <w:szCs w:val="32"/>
          <w:lang w:val="en-US"/>
        </w:rPr>
        <w:t>（街道、开发区）</w:t>
      </w:r>
      <w:r>
        <w:rPr>
          <w:rFonts w:hint="eastAsia" w:ascii="仿宋_GB2312" w:hAnsi="仿宋_GB2312" w:eastAsia="仿宋_GB2312" w:cs="仿宋_GB2312"/>
          <w:color w:val="000000"/>
          <w:spacing w:val="0"/>
          <w:sz w:val="32"/>
          <w:szCs w:val="32"/>
        </w:rPr>
        <w:t>提升行动实施方案当年完成情况，经县财政局、</w:t>
      </w:r>
      <w:r>
        <w:rPr>
          <w:rFonts w:hint="eastAsia" w:ascii="仿宋_GB2312" w:hAnsi="仿宋_GB2312" w:eastAsia="仿宋_GB2312" w:cs="仿宋_GB2312"/>
          <w:color w:val="000000"/>
          <w:spacing w:val="0"/>
          <w:sz w:val="32"/>
          <w:szCs w:val="32"/>
          <w:lang w:val="en-US" w:eastAsia="zh-CN"/>
        </w:rPr>
        <w:t>县发改局、</w:t>
      </w:r>
      <w:r>
        <w:rPr>
          <w:rFonts w:hint="eastAsia" w:ascii="仿宋_GB2312" w:hAnsi="仿宋_GB2312" w:eastAsia="仿宋_GB2312" w:cs="仿宋_GB2312"/>
          <w:color w:val="000000"/>
          <w:spacing w:val="0"/>
          <w:sz w:val="32"/>
          <w:szCs w:val="32"/>
        </w:rPr>
        <w:t>县住建局指导组以及第三方专业机构验收通过后按奖补办法及时发放。</w:t>
      </w:r>
    </w:p>
    <w:p w14:paraId="7D50AC0B">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p>
    <w:p w14:paraId="00C7681C">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仿宋_GB2312" w:hAnsi="仿宋_GB2312" w:eastAsia="仿宋_GB2312" w:cs="仿宋_GB2312"/>
          <w:color w:val="000000"/>
          <w:spacing w:val="0"/>
          <w:sz w:val="32"/>
          <w:szCs w:val="32"/>
        </w:rPr>
        <w:t>附件：1．</w:t>
      </w:r>
      <w:r>
        <w:rPr>
          <w:rFonts w:hint="eastAsia" w:ascii="仿宋_GB2312" w:hAnsi="仿宋_GB2312" w:eastAsia="仿宋_GB2312" w:cs="仿宋_GB2312"/>
          <w:color w:val="000000"/>
          <w:spacing w:val="0"/>
          <w:sz w:val="32"/>
          <w:szCs w:val="32"/>
          <w:lang w:eastAsia="zh-CN"/>
        </w:rPr>
        <w:t>郯城</w:t>
      </w:r>
      <w:r>
        <w:rPr>
          <w:rFonts w:hint="eastAsia" w:ascii="仿宋_GB2312" w:hAnsi="仿宋_GB2312" w:eastAsia="仿宋_GB2312" w:cs="仿宋_GB2312"/>
          <w:color w:val="000000"/>
          <w:spacing w:val="0"/>
          <w:sz w:val="32"/>
          <w:szCs w:val="32"/>
        </w:rPr>
        <w:t>县</w:t>
      </w:r>
      <w:r>
        <w:rPr>
          <w:rFonts w:hint="eastAsia" w:ascii="仿宋_GB2312" w:hAnsi="仿宋_GB2312" w:eastAsia="仿宋_GB2312" w:cs="仿宋_GB2312"/>
          <w:color w:val="000000"/>
          <w:spacing w:val="0"/>
          <w:sz w:val="32"/>
          <w:szCs w:val="32"/>
          <w:lang w:val="en-US"/>
        </w:rPr>
        <w:t>推进</w:t>
      </w:r>
      <w:r>
        <w:rPr>
          <w:rFonts w:hint="eastAsia" w:ascii="仿宋_GB2312" w:hAnsi="仿宋_GB2312" w:eastAsia="仿宋_GB2312" w:cs="仿宋_GB2312"/>
          <w:color w:val="000000"/>
          <w:spacing w:val="0"/>
          <w:sz w:val="32"/>
          <w:szCs w:val="32"/>
        </w:rPr>
        <w:t>小城镇提升三年行动工作领导小组</w:t>
      </w:r>
    </w:p>
    <w:p w14:paraId="24D03F15">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1600" w:firstLineChars="500"/>
        <w:jc w:val="both"/>
        <w:textAlignment w:val="auto"/>
        <w:outlineLvl w:val="9"/>
        <w:rPr>
          <w:rFonts w:hint="eastAsia" w:ascii="仿宋_GB2312" w:hAnsi="仿宋_GB2312" w:eastAsia="仿宋_GB2312" w:cs="仿宋_GB2312"/>
          <w:color w:val="000000"/>
          <w:spacing w:val="0"/>
          <w:sz w:val="32"/>
          <w:szCs w:val="32"/>
        </w:rPr>
      </w:pPr>
      <w:r>
        <w:rPr>
          <w:rFonts w:hint="eastAsia" w:ascii="仿宋_GB2312" w:hAnsi="仿宋_GB2312" w:eastAsia="仿宋_GB2312" w:cs="仿宋_GB2312"/>
          <w:color w:val="000000"/>
          <w:spacing w:val="0"/>
          <w:sz w:val="32"/>
          <w:szCs w:val="32"/>
        </w:rPr>
        <w:t>2．小城镇建设提升指引细则</w:t>
      </w:r>
    </w:p>
    <w:p w14:paraId="44E079F7">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both"/>
        <w:textAlignment w:val="auto"/>
        <w:outlineLvl w:val="9"/>
        <w:rPr>
          <w:rFonts w:hint="eastAsia" w:ascii="黑体" w:hAnsi="黑体" w:eastAsia="黑体" w:cs="黑体"/>
          <w:color w:val="000000"/>
          <w:spacing w:val="0"/>
          <w:sz w:val="32"/>
          <w:szCs w:val="32"/>
          <w:lang w:val="en-US"/>
        </w:rPr>
      </w:pPr>
      <w:r>
        <w:rPr>
          <w:rFonts w:hint="eastAsia" w:ascii="仿宋_GB2312" w:hAnsi="仿宋_GB2312" w:eastAsia="仿宋_GB2312" w:cs="仿宋_GB2312"/>
          <w:color w:val="000000"/>
          <w:spacing w:val="0"/>
          <w:sz w:val="32"/>
          <w:szCs w:val="32"/>
        </w:rPr>
        <w:br w:type="page"/>
      </w:r>
      <w:r>
        <w:rPr>
          <w:rFonts w:hint="eastAsia" w:ascii="黑体" w:hAnsi="黑体" w:eastAsia="黑体" w:cs="黑体"/>
          <w:color w:val="000000"/>
          <w:spacing w:val="0"/>
          <w:sz w:val="32"/>
          <w:szCs w:val="32"/>
        </w:rPr>
        <w:t>附件1</w:t>
      </w:r>
    </w:p>
    <w:p w14:paraId="13F6FA93">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仿宋_GB2312" w:hAnsi="仿宋_GB2312" w:eastAsia="仿宋_GB2312" w:cs="仿宋_GB2312"/>
          <w:color w:val="000000"/>
          <w:spacing w:val="0"/>
          <w:sz w:val="32"/>
          <w:szCs w:val="32"/>
        </w:rPr>
      </w:pPr>
    </w:p>
    <w:p w14:paraId="783B9533">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000000"/>
          <w:spacing w:val="0"/>
          <w:sz w:val="44"/>
          <w:szCs w:val="44"/>
          <w:lang w:eastAsia="zh-CN"/>
        </w:rPr>
      </w:pPr>
      <w:r>
        <w:rPr>
          <w:rFonts w:hint="eastAsia" w:ascii="方正小标宋简体" w:hAnsi="方正小标宋简体" w:eastAsia="方正小标宋简体" w:cs="方正小标宋简体"/>
          <w:color w:val="000000"/>
          <w:spacing w:val="0"/>
          <w:sz w:val="44"/>
          <w:szCs w:val="44"/>
          <w:lang w:eastAsia="zh-CN"/>
        </w:rPr>
        <w:t>郯城县推进小城镇提升三年行动</w:t>
      </w:r>
    </w:p>
    <w:p w14:paraId="75738DD7">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000000"/>
          <w:spacing w:val="0"/>
          <w:sz w:val="44"/>
          <w:szCs w:val="44"/>
        </w:rPr>
      </w:pPr>
      <w:r>
        <w:rPr>
          <w:rFonts w:hint="eastAsia" w:ascii="方正小标宋简体" w:hAnsi="方正小标宋简体" w:eastAsia="方正小标宋简体" w:cs="方正小标宋简体"/>
          <w:color w:val="000000"/>
          <w:spacing w:val="0"/>
          <w:sz w:val="44"/>
          <w:szCs w:val="44"/>
        </w:rPr>
        <w:t>领导小组</w:t>
      </w:r>
    </w:p>
    <w:p w14:paraId="2540E265">
      <w:pPr>
        <w:keepNext w:val="0"/>
        <w:keepLines w:val="0"/>
        <w:pageBreakBefore w:val="0"/>
        <w:widowControl w:val="0"/>
        <w:shd w:val="clear" w:color="auto" w:fill="auto"/>
        <w:kinsoku/>
        <w:wordWrap/>
        <w:overflowPunct/>
        <w:topLinePunct w:val="0"/>
        <w:autoSpaceDE/>
        <w:autoSpaceDN/>
        <w:bidi w:val="0"/>
        <w:adjustRightInd/>
        <w:snapToGrid/>
        <w:spacing w:before="0" w:beforeAutospacing="0" w:after="0" w:afterAutospacing="0" w:line="600" w:lineRule="exact"/>
        <w:ind w:left="0" w:leftChars="0" w:firstLine="0" w:firstLineChars="0"/>
        <w:jc w:val="center"/>
        <w:textAlignment w:val="auto"/>
        <w:outlineLvl w:val="9"/>
        <w:rPr>
          <w:rFonts w:hint="eastAsia" w:ascii="仿宋_GB2312" w:hAnsi="仿宋_GB2312" w:eastAsia="仿宋_GB2312" w:cs="仿宋_GB2312"/>
          <w:b w:val="0"/>
          <w:bCs w:val="0"/>
          <w:color w:val="000000"/>
          <w:spacing w:val="0"/>
          <w:sz w:val="32"/>
          <w:szCs w:val="32"/>
          <w:lang w:val="en-US" w:eastAsia="zh-CN"/>
        </w:rPr>
      </w:pPr>
    </w:p>
    <w:p w14:paraId="20E94839">
      <w:pPr>
        <w:keepNext w:val="0"/>
        <w:keepLines w:val="0"/>
        <w:pageBreakBefore w:val="0"/>
        <w:widowControl w:val="0"/>
        <w:shd w:val="clear" w:color="auto" w:fill="auto"/>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黑体" w:hAnsi="黑体" w:eastAsia="黑体" w:cs="黑体"/>
          <w:b w:val="0"/>
          <w:bCs w:val="0"/>
          <w:color w:val="000000"/>
          <w:spacing w:val="0"/>
          <w:sz w:val="32"/>
          <w:szCs w:val="32"/>
          <w:lang w:val="en-US" w:eastAsia="zh-CN"/>
        </w:rPr>
        <w:t>组  长：</w:t>
      </w:r>
      <w:r>
        <w:rPr>
          <w:rFonts w:hint="eastAsia" w:ascii="仿宋_GB2312" w:hAnsi="仿宋_GB2312" w:eastAsia="仿宋_GB2312" w:cs="仿宋_GB2312"/>
          <w:b w:val="0"/>
          <w:bCs w:val="0"/>
          <w:color w:val="000000"/>
          <w:spacing w:val="0"/>
          <w:sz w:val="32"/>
          <w:szCs w:val="32"/>
          <w:lang w:val="en-US" w:eastAsia="zh-CN"/>
        </w:rPr>
        <w:t>于广威  县委副书记、县政府县长</w:t>
      </w:r>
    </w:p>
    <w:p w14:paraId="70CA8530">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黑体" w:hAnsi="黑体" w:eastAsia="黑体" w:cs="黑体"/>
          <w:b w:val="0"/>
          <w:bCs w:val="0"/>
          <w:color w:val="000000"/>
          <w:spacing w:val="0"/>
          <w:sz w:val="32"/>
          <w:szCs w:val="32"/>
          <w:lang w:val="en-US" w:eastAsia="zh-CN"/>
        </w:rPr>
        <w:t>副组长：</w:t>
      </w:r>
      <w:r>
        <w:rPr>
          <w:rFonts w:hint="eastAsia" w:ascii="仿宋_GB2312" w:hAnsi="仿宋_GB2312" w:eastAsia="仿宋_GB2312" w:cs="仿宋_GB2312"/>
          <w:b w:val="0"/>
          <w:bCs w:val="0"/>
          <w:color w:val="000000"/>
          <w:spacing w:val="0"/>
          <w:sz w:val="32"/>
          <w:szCs w:val="32"/>
          <w:lang w:val="en-US" w:eastAsia="zh-CN"/>
        </w:rPr>
        <w:t>龙希锋  县委常委、县政府常务副县长</w:t>
      </w:r>
    </w:p>
    <w:p w14:paraId="6B43E081">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张玉安  县政府副县长</w:t>
      </w:r>
    </w:p>
    <w:p w14:paraId="382ED4D9">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曹晓飞  县政府副县长、县公安局局长</w:t>
      </w:r>
    </w:p>
    <w:p w14:paraId="6765364F">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default"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禚海燕  县政府副县长、县卫生健康局局长</w:t>
      </w:r>
    </w:p>
    <w:p w14:paraId="46107EA1">
      <w:pPr>
        <w:keepNext w:val="0"/>
        <w:keepLines w:val="0"/>
        <w:pageBreakBefore w:val="0"/>
        <w:widowControl w:val="0"/>
        <w:shd w:val="clear" w:color="auto" w:fill="auto"/>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黑体" w:hAnsi="黑体" w:eastAsia="黑体" w:cs="黑体"/>
          <w:b w:val="0"/>
          <w:bCs w:val="0"/>
          <w:color w:val="000000"/>
          <w:spacing w:val="0"/>
          <w:sz w:val="32"/>
          <w:szCs w:val="32"/>
          <w:lang w:val="en-US" w:eastAsia="zh-CN"/>
        </w:rPr>
        <w:t>成  员：</w:t>
      </w:r>
      <w:r>
        <w:rPr>
          <w:rFonts w:hint="eastAsia" w:ascii="仿宋_GB2312" w:hAnsi="仿宋_GB2312" w:eastAsia="仿宋_GB2312" w:cs="仿宋_GB2312"/>
          <w:b w:val="0"/>
          <w:bCs w:val="0"/>
          <w:color w:val="000000"/>
          <w:spacing w:val="0"/>
          <w:sz w:val="32"/>
          <w:szCs w:val="32"/>
          <w:lang w:val="en-US" w:eastAsia="zh-CN"/>
        </w:rPr>
        <w:t>王绍强  县国有林场总场场长、</w:t>
      </w:r>
    </w:p>
    <w:p w14:paraId="39A6FE61">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3200" w:firstLineChars="10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县自然资源和规划局局长</w:t>
      </w:r>
    </w:p>
    <w:p w14:paraId="2222FE1D">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谢  飞  县马陵山景区党工委书记、管委会主任，</w:t>
      </w:r>
    </w:p>
    <w:p w14:paraId="54A405A3">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3200" w:firstLineChars="10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县农业农村局局长</w:t>
      </w:r>
    </w:p>
    <w:p w14:paraId="78A3AB48">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孟  欣  县政府党组成员、县政府办公室主任</w:t>
      </w:r>
    </w:p>
    <w:p w14:paraId="494BC219">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 xml:space="preserve">丁艳蓬  </w:t>
      </w:r>
      <w:r>
        <w:rPr>
          <w:rFonts w:hint="eastAsia" w:ascii="仿宋_GB2312" w:hAnsi="仿宋_GB2312" w:eastAsia="仿宋_GB2312" w:cs="仿宋_GB2312"/>
          <w:b w:val="0"/>
          <w:bCs w:val="0"/>
          <w:color w:val="000000"/>
          <w:spacing w:val="-11"/>
          <w:sz w:val="32"/>
          <w:szCs w:val="32"/>
          <w:lang w:val="en-US" w:eastAsia="zh-CN"/>
        </w:rPr>
        <w:t>县政府办公室党组成员、县大数据中心主任</w:t>
      </w:r>
    </w:p>
    <w:p w14:paraId="2D982442">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张炳忠  县发改局局长</w:t>
      </w:r>
    </w:p>
    <w:p w14:paraId="09894818">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杜玉民  县教体局局长</w:t>
      </w:r>
    </w:p>
    <w:p w14:paraId="4AE13314">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徐  波  县民政局局长</w:t>
      </w:r>
    </w:p>
    <w:p w14:paraId="6D517389">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郭  强  县司法局局长</w:t>
      </w:r>
    </w:p>
    <w:p w14:paraId="45D4C1F4">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匡  伟  县财政局局长</w:t>
      </w:r>
    </w:p>
    <w:p w14:paraId="6D456222">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杜清华  县住建局局长</w:t>
      </w:r>
    </w:p>
    <w:p w14:paraId="23B85B8A">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陈  峰  县交通运输局局长</w:t>
      </w:r>
    </w:p>
    <w:p w14:paraId="48605A2D">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石瑞强  县文化和旅游局局长</w:t>
      </w:r>
    </w:p>
    <w:p w14:paraId="0CC14E17">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居国防  县行政审批服务局局长</w:t>
      </w:r>
    </w:p>
    <w:p w14:paraId="3A7DF8E2">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李相营  县综合行政执法局局长</w:t>
      </w:r>
    </w:p>
    <w:p w14:paraId="0A7A610E">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陈康健  市生态环境局郯城县分局局长</w:t>
      </w:r>
    </w:p>
    <w:p w14:paraId="415AEBB0">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陈洪军  县卫生健康局副局长</w:t>
      </w:r>
    </w:p>
    <w:p w14:paraId="1C951A90">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李东迅  郯城街道办事处主任</w:t>
      </w:r>
    </w:p>
    <w:p w14:paraId="04E76EEB">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薄圣奎  马头镇政府镇长</w:t>
      </w:r>
    </w:p>
    <w:p w14:paraId="66D8DF83">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徐西华  李庄镇政府镇长</w:t>
      </w:r>
    </w:p>
    <w:p w14:paraId="75BD8076">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葛雪峰  重坊镇政府镇长</w:t>
      </w:r>
    </w:p>
    <w:p w14:paraId="1AC1CFBA">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朱加来  杨集镇政府镇长</w:t>
      </w:r>
    </w:p>
    <w:p w14:paraId="6E20A047">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谢  艺  庙山镇政府镇长</w:t>
      </w:r>
    </w:p>
    <w:p w14:paraId="28A56DF0">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贾  磊  高峰头镇政府镇长</w:t>
      </w:r>
    </w:p>
    <w:p w14:paraId="27B1AB2E">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侯晨旭  港上镇政府镇长</w:t>
      </w:r>
    </w:p>
    <w:p w14:paraId="1E28DEBE">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刘  峰  红花镇政府镇长</w:t>
      </w:r>
    </w:p>
    <w:p w14:paraId="0BEE43EC">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李  真  胜利镇政府镇长</w:t>
      </w:r>
    </w:p>
    <w:p w14:paraId="29AF1ACB">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李晓彤  泉源镇政府镇长</w:t>
      </w:r>
    </w:p>
    <w:p w14:paraId="5C1126AB">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王超峰  花园镇政府镇长</w:t>
      </w:r>
    </w:p>
    <w:p w14:paraId="4472E6F4">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刘海洲  归昌乡政府乡长</w:t>
      </w:r>
    </w:p>
    <w:p w14:paraId="7C367882">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spacing w:val="0"/>
          <w:sz w:val="32"/>
          <w:szCs w:val="32"/>
          <w:lang w:val="en-US" w:eastAsia="zh-CN"/>
        </w:rPr>
      </w:pPr>
      <w:r>
        <w:rPr>
          <w:rFonts w:hint="eastAsia" w:ascii="仿宋_GB2312" w:hAnsi="仿宋_GB2312" w:eastAsia="仿宋_GB2312" w:cs="仿宋_GB2312"/>
          <w:b w:val="0"/>
          <w:bCs w:val="0"/>
          <w:color w:val="000000"/>
          <w:spacing w:val="0"/>
          <w:sz w:val="32"/>
          <w:szCs w:val="32"/>
          <w:lang w:val="en-US" w:eastAsia="zh-CN"/>
        </w:rPr>
        <w:t>杜广峰  新村银杏产业开发区管委会主任</w:t>
      </w:r>
    </w:p>
    <w:p w14:paraId="26B5EF3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spacing w:val="0"/>
          <w:sz w:val="32"/>
          <w:szCs w:val="32"/>
        </w:rPr>
      </w:pPr>
      <w:r>
        <w:rPr>
          <w:rFonts w:hint="eastAsia" w:ascii="仿宋_GB2312" w:hAnsi="仿宋_GB2312" w:eastAsia="仿宋_GB2312" w:cs="仿宋_GB2312"/>
          <w:color w:val="000000"/>
          <w:spacing w:val="0"/>
          <w:sz w:val="32"/>
          <w:szCs w:val="32"/>
        </w:rPr>
        <w:t>领导小组下设办公室，办公室设在县住建局，</w:t>
      </w:r>
      <w:r>
        <w:rPr>
          <w:rFonts w:hint="eastAsia" w:ascii="仿宋_GB2312" w:hAnsi="仿宋_GB2312" w:eastAsia="仿宋_GB2312" w:cs="仿宋_GB2312"/>
          <w:color w:val="000000"/>
          <w:spacing w:val="0"/>
          <w:sz w:val="32"/>
          <w:szCs w:val="32"/>
          <w:lang w:eastAsia="zh-CN"/>
        </w:rPr>
        <w:t>杜清华同志兼任办公室主任，</w:t>
      </w:r>
      <w:r>
        <w:rPr>
          <w:rFonts w:hint="eastAsia" w:ascii="仿宋_GB2312" w:hAnsi="仿宋_GB2312" w:eastAsia="仿宋_GB2312" w:cs="仿宋_GB2312"/>
          <w:color w:val="000000"/>
          <w:spacing w:val="0"/>
          <w:sz w:val="32"/>
          <w:szCs w:val="32"/>
          <w:lang w:val="en-US" w:eastAsia="zh-CN"/>
        </w:rPr>
        <w:t>张子坤</w:t>
      </w:r>
      <w:r>
        <w:rPr>
          <w:rFonts w:hint="eastAsia" w:ascii="仿宋_GB2312" w:hAnsi="仿宋_GB2312" w:eastAsia="仿宋_GB2312" w:cs="仿宋_GB2312"/>
          <w:color w:val="000000"/>
          <w:spacing w:val="0"/>
          <w:sz w:val="32"/>
          <w:szCs w:val="32"/>
        </w:rPr>
        <w:t>同志任办公室</w:t>
      </w:r>
      <w:r>
        <w:rPr>
          <w:rFonts w:hint="eastAsia" w:ascii="仿宋_GB2312" w:hAnsi="仿宋_GB2312" w:eastAsia="仿宋_GB2312" w:cs="仿宋_GB2312"/>
          <w:color w:val="000000"/>
          <w:spacing w:val="0"/>
          <w:sz w:val="32"/>
          <w:szCs w:val="32"/>
          <w:lang w:eastAsia="zh-CN"/>
        </w:rPr>
        <w:t>副</w:t>
      </w:r>
      <w:r>
        <w:rPr>
          <w:rFonts w:hint="eastAsia" w:ascii="仿宋_GB2312" w:hAnsi="仿宋_GB2312" w:eastAsia="仿宋_GB2312" w:cs="仿宋_GB2312"/>
          <w:color w:val="000000"/>
          <w:spacing w:val="0"/>
          <w:sz w:val="32"/>
          <w:szCs w:val="32"/>
        </w:rPr>
        <w:t>主任，具体负责领导小组日常工作。</w:t>
      </w:r>
    </w:p>
    <w:p w14:paraId="798B9B7F">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both"/>
        <w:textAlignment w:val="auto"/>
        <w:outlineLvl w:val="9"/>
        <w:rPr>
          <w:rFonts w:hint="eastAsia" w:ascii="黑体" w:hAnsi="黑体" w:eastAsia="黑体" w:cs="黑体"/>
          <w:color w:val="000000"/>
          <w:spacing w:val="0"/>
          <w:sz w:val="32"/>
          <w:szCs w:val="32"/>
        </w:rPr>
      </w:pPr>
      <w:r>
        <w:rPr>
          <w:rFonts w:hint="eastAsia" w:ascii="仿宋_GB2312" w:hAnsi="仿宋_GB2312" w:eastAsia="仿宋_GB2312" w:cs="仿宋_GB2312"/>
          <w:color w:val="000000"/>
          <w:spacing w:val="0"/>
          <w:sz w:val="32"/>
          <w:szCs w:val="32"/>
        </w:rPr>
        <w:br w:type="page"/>
      </w:r>
      <w:r>
        <w:rPr>
          <w:rFonts w:hint="eastAsia" w:ascii="黑体" w:hAnsi="黑体" w:eastAsia="黑体" w:cs="黑体"/>
          <w:color w:val="000000"/>
          <w:spacing w:val="0"/>
          <w:sz w:val="32"/>
          <w:szCs w:val="32"/>
        </w:rPr>
        <w:t>附件2</w:t>
      </w:r>
    </w:p>
    <w:p w14:paraId="6F750B0E">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仿宋_GB2312" w:hAnsi="仿宋_GB2312" w:eastAsia="仿宋_GB2312" w:cs="仿宋_GB2312"/>
          <w:color w:val="000000"/>
          <w:spacing w:val="0"/>
          <w:sz w:val="32"/>
          <w:szCs w:val="32"/>
        </w:rPr>
      </w:pPr>
    </w:p>
    <w:p w14:paraId="72473EF4">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000000"/>
          <w:spacing w:val="0"/>
          <w:sz w:val="44"/>
          <w:szCs w:val="44"/>
        </w:rPr>
      </w:pPr>
      <w:r>
        <w:rPr>
          <w:rFonts w:hint="eastAsia" w:ascii="方正小标宋简体" w:hAnsi="方正小标宋简体" w:eastAsia="方正小标宋简体" w:cs="方正小标宋简体"/>
          <w:color w:val="000000"/>
          <w:spacing w:val="0"/>
          <w:sz w:val="44"/>
          <w:szCs w:val="44"/>
        </w:rPr>
        <w:t>小城镇建设提升指引细则</w:t>
      </w:r>
    </w:p>
    <w:p w14:paraId="70C201E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600" w:lineRule="exact"/>
        <w:ind w:left="0" w:right="0" w:firstLine="0" w:firstLineChars="0"/>
        <w:jc w:val="center"/>
        <w:textAlignment w:val="auto"/>
        <w:outlineLvl w:val="9"/>
        <w:rPr>
          <w:rFonts w:hint="eastAsia" w:ascii="仿宋_GB2312" w:hAnsi="仿宋_GB2312" w:eastAsia="仿宋_GB2312" w:cs="仿宋_GB2312"/>
          <w:i w:val="0"/>
          <w:iCs w:val="0"/>
          <w:caps w:val="0"/>
          <w:color w:val="000000"/>
          <w:spacing w:val="0"/>
          <w:sz w:val="32"/>
          <w:szCs w:val="32"/>
        </w:rPr>
      </w:pPr>
    </w:p>
    <w:tbl>
      <w:tblPr>
        <w:tblStyle w:val="20"/>
        <w:tblW w:w="87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259"/>
        <w:gridCol w:w="1550"/>
        <w:gridCol w:w="4844"/>
        <w:gridCol w:w="1134"/>
      </w:tblGrid>
      <w:tr w14:paraId="17EACE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tblHeader/>
          <w:jc w:val="center"/>
        </w:trPr>
        <w:tc>
          <w:tcPr>
            <w:tcW w:w="1259" w:type="dxa"/>
            <w:tcBorders>
              <w:top w:val="single" w:color="000000" w:sz="6" w:space="0"/>
              <w:left w:val="single" w:color="000000" w:sz="6" w:space="0"/>
              <w:bottom w:val="single" w:color="000000" w:sz="6" w:space="0"/>
              <w:right w:val="single" w:color="000000" w:sz="6" w:space="0"/>
            </w:tcBorders>
            <w:noWrap w:val="0"/>
            <w:vAlign w:val="center"/>
          </w:tcPr>
          <w:p w14:paraId="0118CD0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类别</w:t>
            </w: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43DC9A4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事项</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4EE7C4F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考核标准</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2AE8257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黑体" w:hAnsi="黑体" w:eastAsia="黑体" w:cs="黑体"/>
                <w:color w:val="000000"/>
                <w:spacing w:val="0"/>
                <w:sz w:val="28"/>
                <w:szCs w:val="28"/>
              </w:rPr>
            </w:pPr>
            <w:r>
              <w:rPr>
                <w:rFonts w:hint="eastAsia" w:ascii="黑体" w:hAnsi="黑体" w:eastAsia="黑体" w:cs="黑体"/>
                <w:color w:val="000000"/>
                <w:spacing w:val="0"/>
                <w:sz w:val="28"/>
                <w:szCs w:val="28"/>
              </w:rPr>
              <w:t>分值</w:t>
            </w:r>
          </w:p>
        </w:tc>
      </w:tr>
      <w:tr w14:paraId="0487962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restart"/>
            <w:tcBorders>
              <w:top w:val="single" w:color="000000" w:sz="6" w:space="0"/>
              <w:left w:val="single" w:color="000000" w:sz="6" w:space="0"/>
              <w:bottom w:val="single" w:color="000000" w:sz="6" w:space="0"/>
              <w:right w:val="single" w:color="000000" w:sz="6" w:space="0"/>
            </w:tcBorders>
            <w:noWrap w:val="0"/>
            <w:vAlign w:val="center"/>
          </w:tcPr>
          <w:p w14:paraId="031F2BE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建筑</w:t>
            </w:r>
          </w:p>
          <w:p w14:paraId="590E77D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风貌</w:t>
            </w: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78970DE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商业街区</w:t>
            </w:r>
          </w:p>
          <w:p w14:paraId="6EA57CB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立面整治</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496F8B0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通过建筑设计、规划设计来控制、引导具体的沿街建筑外立面改造，对依附在建筑外立面上的广告、店招等，要结合建筑本身的形象、需要进行改造，风格与周边建筑和谐共存，不得“千店一面”。建筑外立面重要节点可采取通透式设计</w:t>
            </w:r>
            <w:r>
              <w:rPr>
                <w:rFonts w:hint="eastAsia" w:ascii="仿宋_GB2312" w:hAnsi="仿宋_GB2312" w:eastAsia="仿宋_GB2312" w:cs="仿宋_GB2312"/>
                <w:color w:val="000000"/>
                <w:spacing w:val="0"/>
                <w:sz w:val="28"/>
                <w:szCs w:val="28"/>
                <w:lang w:val="en-US"/>
              </w:rPr>
              <w:t>，</w:t>
            </w:r>
            <w:r>
              <w:rPr>
                <w:rFonts w:hint="eastAsia" w:ascii="仿宋_GB2312" w:hAnsi="仿宋_GB2312" w:eastAsia="仿宋_GB2312" w:cs="仿宋_GB2312"/>
                <w:color w:val="000000"/>
                <w:spacing w:val="0"/>
                <w:sz w:val="28"/>
                <w:szCs w:val="28"/>
              </w:rPr>
              <w:t>也可统一对屋面形式进行改造。</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5ACB7D2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10</w:t>
            </w:r>
          </w:p>
        </w:tc>
      </w:tr>
      <w:tr w14:paraId="0B85C2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519678F5">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2A12FC2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居民点</w:t>
            </w:r>
          </w:p>
          <w:p w14:paraId="0F07ED6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立面整治</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62C2C6D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统一颜色、材质</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216811A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200E55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4202DE22">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78406C8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节点打造</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1E9B165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结合建筑、绿化、小品等，打造一批亮眼的景观节点</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03671E2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578913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20701C78">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02548A5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乡</w:t>
            </w:r>
            <w:r>
              <w:rPr>
                <w:rFonts w:hint="eastAsia" w:ascii="仿宋_GB2312" w:hAnsi="仿宋_GB2312" w:eastAsia="仿宋_GB2312" w:cs="仿宋_GB2312"/>
                <w:color w:val="000000"/>
                <w:spacing w:val="0"/>
                <w:sz w:val="28"/>
                <w:szCs w:val="28"/>
              </w:rPr>
              <w:t>镇</w:t>
            </w:r>
            <w:r>
              <w:rPr>
                <w:rFonts w:hint="eastAsia" w:ascii="仿宋_GB2312" w:hAnsi="仿宋_GB2312" w:eastAsia="仿宋_GB2312" w:cs="仿宋_GB2312"/>
                <w:color w:val="000000"/>
                <w:spacing w:val="0"/>
                <w:sz w:val="28"/>
                <w:szCs w:val="28"/>
                <w:lang w:val="en-US" w:eastAsia="zh-CN"/>
              </w:rPr>
              <w:t>便民</w:t>
            </w:r>
          </w:p>
          <w:p w14:paraId="0FBC9AA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lang w:val="en-US" w:eastAsia="zh-CN"/>
              </w:rPr>
              <w:t>服务会客厅</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43C270D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精心打造小镇</w:t>
            </w:r>
            <w:r>
              <w:rPr>
                <w:rFonts w:hint="eastAsia" w:ascii="仿宋_GB2312" w:hAnsi="仿宋_GB2312" w:eastAsia="仿宋_GB2312" w:cs="仿宋_GB2312"/>
                <w:color w:val="000000"/>
                <w:spacing w:val="0"/>
                <w:sz w:val="28"/>
                <w:szCs w:val="28"/>
                <w:lang w:val="en-US" w:eastAsia="zh-CN"/>
              </w:rPr>
              <w:t>展</w:t>
            </w:r>
            <w:r>
              <w:rPr>
                <w:rFonts w:hint="eastAsia" w:ascii="仿宋_GB2312" w:hAnsi="仿宋_GB2312" w:eastAsia="仿宋_GB2312" w:cs="仿宋_GB2312"/>
                <w:color w:val="000000"/>
                <w:spacing w:val="0"/>
                <w:sz w:val="28"/>
                <w:szCs w:val="28"/>
              </w:rPr>
              <w:t>厅，要具有独特性的核心吸引物，具备集中展示小镇风情功能和旅游功能，能够宣传小镇的过去、现在和未来。小镇客厅还具备居民服务功能，提供政策咨询、文化教育、生活服务、就业推荐等服务。</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1972EAD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1</w:t>
            </w:r>
            <w:r>
              <w:rPr>
                <w:rFonts w:hint="eastAsia" w:ascii="仿宋_GB2312" w:hAnsi="仿宋_GB2312" w:eastAsia="仿宋_GB2312" w:cs="仿宋_GB2312"/>
                <w:color w:val="000000"/>
                <w:spacing w:val="0"/>
                <w:sz w:val="28"/>
                <w:szCs w:val="28"/>
                <w:lang w:val="en-US" w:eastAsia="zh-CN"/>
              </w:rPr>
              <w:t>0</w:t>
            </w:r>
          </w:p>
        </w:tc>
      </w:tr>
      <w:tr w14:paraId="1078C5D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restart"/>
            <w:tcBorders>
              <w:top w:val="single" w:color="000000" w:sz="6" w:space="0"/>
              <w:left w:val="single" w:color="000000" w:sz="6" w:space="0"/>
              <w:right w:val="single" w:color="000000" w:sz="6" w:space="0"/>
            </w:tcBorders>
            <w:noWrap w:val="0"/>
            <w:vAlign w:val="center"/>
          </w:tcPr>
          <w:p w14:paraId="072A706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景观</w:t>
            </w:r>
          </w:p>
          <w:p w14:paraId="006C641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绿化</w:t>
            </w: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7535093E">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lang w:val="en-US" w:eastAsia="zh-CN"/>
              </w:rPr>
              <w:t>驻地</w:t>
            </w:r>
            <w:r>
              <w:rPr>
                <w:rFonts w:hint="eastAsia" w:ascii="仿宋_GB2312" w:hAnsi="仿宋_GB2312" w:eastAsia="仿宋_GB2312" w:cs="仿宋_GB2312"/>
                <w:color w:val="000000"/>
                <w:spacing w:val="0"/>
                <w:sz w:val="28"/>
                <w:szCs w:val="28"/>
              </w:rPr>
              <w:t>公园</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7DF259A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有效展示</w:t>
            </w:r>
            <w:r>
              <w:rPr>
                <w:rFonts w:hint="eastAsia" w:ascii="仿宋_GB2312" w:hAnsi="仿宋_GB2312" w:eastAsia="仿宋_GB2312" w:cs="仿宋_GB2312"/>
                <w:color w:val="000000"/>
                <w:spacing w:val="0"/>
                <w:sz w:val="28"/>
                <w:szCs w:val="28"/>
                <w:lang w:val="en-US" w:eastAsia="zh-CN"/>
              </w:rPr>
              <w:t>人居</w:t>
            </w:r>
            <w:r>
              <w:rPr>
                <w:rFonts w:hint="eastAsia" w:ascii="仿宋_GB2312" w:hAnsi="仿宋_GB2312" w:eastAsia="仿宋_GB2312" w:cs="仿宋_GB2312"/>
                <w:color w:val="000000"/>
                <w:spacing w:val="0"/>
                <w:sz w:val="28"/>
                <w:szCs w:val="28"/>
              </w:rPr>
              <w:t>环境集中整治成果，营造和谐健康氛围</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5FE9581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10</w:t>
            </w:r>
          </w:p>
        </w:tc>
      </w:tr>
      <w:tr w14:paraId="3A29F1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left w:val="single" w:color="000000" w:sz="6" w:space="0"/>
              <w:bottom w:val="single" w:color="000000" w:sz="6" w:space="0"/>
              <w:right w:val="single" w:color="000000" w:sz="6" w:space="0"/>
            </w:tcBorders>
            <w:noWrap w:val="0"/>
            <w:vAlign w:val="center"/>
          </w:tcPr>
          <w:p w14:paraId="79D47847">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6C6F3D0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健身广场</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7E25E56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推进全民健康生活方式和理念的传播</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24FD9CB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4D382A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restart"/>
            <w:tcBorders>
              <w:top w:val="single" w:color="000000" w:sz="6" w:space="0"/>
              <w:left w:val="single" w:color="000000" w:sz="6" w:space="0"/>
              <w:right w:val="single" w:color="000000" w:sz="6" w:space="0"/>
            </w:tcBorders>
            <w:noWrap w:val="0"/>
            <w:vAlign w:val="center"/>
          </w:tcPr>
          <w:p w14:paraId="0912664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景观</w:t>
            </w:r>
          </w:p>
          <w:p w14:paraId="365E1AB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leftChars="0" w:right="0" w:rightChars="0" w:firstLine="0" w:firstLineChars="0"/>
              <w:jc w:val="center"/>
              <w:textAlignment w:val="auto"/>
              <w:outlineLvl w:val="9"/>
              <w:rPr>
                <w:rFonts w:hint="eastAsia" w:ascii="楷体_GB2312" w:hAnsi="楷体_GB2312" w:eastAsia="楷体_GB2312" w:cs="楷体_GB2312"/>
                <w:color w:val="000000"/>
                <w:spacing w:val="0"/>
                <w:kern w:val="0"/>
                <w:sz w:val="28"/>
                <w:szCs w:val="28"/>
                <w:lang w:val="en-US" w:eastAsia="zh-CN" w:bidi="ar"/>
              </w:rPr>
            </w:pPr>
            <w:r>
              <w:rPr>
                <w:rFonts w:hint="eastAsia" w:ascii="楷体_GB2312" w:hAnsi="楷体_GB2312" w:eastAsia="楷体_GB2312" w:cs="楷体_GB2312"/>
                <w:color w:val="000000"/>
                <w:spacing w:val="0"/>
                <w:sz w:val="28"/>
                <w:szCs w:val="28"/>
              </w:rPr>
              <w:t>绿化</w:t>
            </w: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42ABF79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居民点绿化</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35CF862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小镇绿化覆盖率达45%以上</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3798095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02E960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left w:val="single" w:color="000000" w:sz="6" w:space="0"/>
              <w:bottom w:val="single" w:color="000000" w:sz="6" w:space="0"/>
              <w:right w:val="single" w:color="000000" w:sz="6" w:space="0"/>
            </w:tcBorders>
            <w:noWrap w:val="0"/>
            <w:vAlign w:val="center"/>
          </w:tcPr>
          <w:p w14:paraId="155B8966">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1DD5F62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行道树栽植</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214EC4D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能适应当地生长环境，移植时易成活，生长迅速而健壮的树种，提升街道园林绿化面貌</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31C5CB5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53CD6F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restart"/>
            <w:tcBorders>
              <w:top w:val="single" w:color="000000" w:sz="6" w:space="0"/>
              <w:left w:val="single" w:color="000000" w:sz="6" w:space="0"/>
              <w:bottom w:val="single" w:color="000000" w:sz="6" w:space="0"/>
              <w:right w:val="single" w:color="000000" w:sz="6" w:space="0"/>
            </w:tcBorders>
            <w:noWrap w:val="0"/>
            <w:vAlign w:val="center"/>
          </w:tcPr>
          <w:p w14:paraId="190EA9E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基础</w:t>
            </w:r>
          </w:p>
          <w:p w14:paraId="572B967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设施</w:t>
            </w: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1CB6544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主干道</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7115C69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根据各个交叉路口通行量，设置交通信号灯</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406FE33E">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lang w:val="en-US" w:eastAsia="zh-CN"/>
              </w:rPr>
              <w:t>5</w:t>
            </w:r>
          </w:p>
        </w:tc>
      </w:tr>
      <w:tr w14:paraId="676E49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1692E434">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045A41FE">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电力</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0E95132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弱电下地</w:t>
            </w:r>
            <w:r>
              <w:rPr>
                <w:rFonts w:hint="eastAsia" w:ascii="仿宋_GB2312" w:hAnsi="仿宋_GB2312" w:eastAsia="仿宋_GB2312" w:cs="仿宋_GB2312"/>
                <w:color w:val="000000"/>
                <w:spacing w:val="0"/>
                <w:sz w:val="28"/>
                <w:szCs w:val="28"/>
                <w:lang w:eastAsia="zh-CN"/>
              </w:rPr>
              <w:t>、</w:t>
            </w:r>
            <w:r>
              <w:rPr>
                <w:rFonts w:hint="eastAsia" w:ascii="仿宋_GB2312" w:hAnsi="仿宋_GB2312" w:eastAsia="仿宋_GB2312" w:cs="仿宋_GB2312"/>
                <w:color w:val="000000"/>
                <w:spacing w:val="0"/>
                <w:sz w:val="28"/>
                <w:szCs w:val="28"/>
                <w:lang w:val="en-US" w:eastAsia="zh-CN"/>
              </w:rPr>
              <w:t>整治飞线</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4093525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03F0EF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5502EEA8">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433342F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给排水</w:t>
            </w:r>
          </w:p>
          <w:p w14:paraId="411E280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污水处理</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6D0C5A8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lang w:val="en-US" w:eastAsia="zh-CN"/>
              </w:rPr>
              <w:t>乡镇驻地</w:t>
            </w:r>
            <w:r>
              <w:rPr>
                <w:rFonts w:hint="eastAsia" w:ascii="仿宋_GB2312" w:hAnsi="仿宋_GB2312" w:eastAsia="仿宋_GB2312" w:cs="仿宋_GB2312"/>
                <w:color w:val="000000"/>
                <w:spacing w:val="0"/>
                <w:sz w:val="28"/>
                <w:szCs w:val="28"/>
              </w:rPr>
              <w:t>集中供水，污水集中收集</w:t>
            </w:r>
            <w:r>
              <w:rPr>
                <w:rFonts w:hint="eastAsia" w:ascii="仿宋_GB2312" w:hAnsi="仿宋_GB2312" w:eastAsia="仿宋_GB2312" w:cs="仿宋_GB2312"/>
                <w:color w:val="000000"/>
                <w:spacing w:val="0"/>
                <w:sz w:val="28"/>
                <w:szCs w:val="28"/>
                <w:lang w:eastAsia="zh-CN"/>
              </w:rPr>
              <w:t>，</w:t>
            </w:r>
            <w:r>
              <w:rPr>
                <w:rFonts w:hint="eastAsia" w:ascii="仿宋_GB2312" w:hAnsi="仿宋_GB2312" w:eastAsia="仿宋_GB2312" w:cs="仿宋_GB2312"/>
                <w:color w:val="000000"/>
                <w:spacing w:val="0"/>
                <w:sz w:val="28"/>
                <w:szCs w:val="28"/>
              </w:rPr>
              <w:t>生活污水处理率达80%以上</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545D36F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05DF6A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50D853CF">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799F934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垃圾处理</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73DFA87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垃圾分类亭、有毒有害垃圾收集储存点、大件（装修）垃圾集中堆放点等环卫设施配套，生活垃圾无害化处理率达95%以上</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78B5845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448371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restart"/>
            <w:tcBorders>
              <w:top w:val="single" w:color="000000" w:sz="6" w:space="0"/>
              <w:left w:val="single" w:color="000000" w:sz="6" w:space="0"/>
              <w:bottom w:val="single" w:color="000000" w:sz="6" w:space="0"/>
              <w:right w:val="single" w:color="000000" w:sz="6" w:space="0"/>
            </w:tcBorders>
            <w:noWrap w:val="0"/>
            <w:vAlign w:val="center"/>
          </w:tcPr>
          <w:p w14:paraId="1D7A49F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公共</w:t>
            </w:r>
          </w:p>
          <w:p w14:paraId="799813B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设施</w:t>
            </w: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661ECE7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集贸市场</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117272A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集市不得沿街占道，统一规划场地</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20D1873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02678B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2F2A23FB">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2C807DE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停车位</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0D52213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商业街、居民区停车入位，按标示线停放</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2A9C6A1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111E22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11E8DFB2">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267EFAF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路灯</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266F090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路灯设施完好率达98%，亮灯率达97%。</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652FB07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5BCB393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vMerge w:val="continue"/>
            <w:tcBorders>
              <w:top w:val="single" w:color="000000" w:sz="6" w:space="0"/>
              <w:left w:val="single" w:color="000000" w:sz="6" w:space="0"/>
              <w:bottom w:val="single" w:color="000000" w:sz="6" w:space="0"/>
              <w:right w:val="single" w:color="000000" w:sz="6" w:space="0"/>
            </w:tcBorders>
            <w:noWrap w:val="0"/>
            <w:vAlign w:val="center"/>
          </w:tcPr>
          <w:p w14:paraId="14668177">
            <w:pPr>
              <w:keepNext w:val="0"/>
              <w:keepLines w:val="0"/>
              <w:pageBreakBefore w:val="0"/>
              <w:widowControl w:val="0"/>
              <w:shd w:val="clear" w:color="auto" w:fill="auto"/>
              <w:kinsoku/>
              <w:wordWrap/>
              <w:overflowPunct/>
              <w:topLinePunct w:val="0"/>
              <w:autoSpaceDE/>
              <w:autoSpaceDN/>
              <w:bidi w:val="0"/>
              <w:adjustRightInd/>
              <w:snapToGrid/>
              <w:spacing w:before="63" w:beforeLines="20" w:after="63" w:afterLines="20" w:line="440" w:lineRule="exact"/>
              <w:ind w:firstLine="0" w:firstLineChars="0"/>
              <w:jc w:val="center"/>
              <w:textAlignment w:val="auto"/>
              <w:outlineLvl w:val="9"/>
              <w:rPr>
                <w:rFonts w:hint="eastAsia" w:ascii="楷体_GB2312" w:hAnsi="楷体_GB2312" w:eastAsia="楷体_GB2312" w:cs="楷体_GB2312"/>
                <w:color w:val="000000"/>
                <w:spacing w:val="0"/>
                <w:sz w:val="28"/>
                <w:szCs w:val="28"/>
              </w:rPr>
            </w:pP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4D36510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夜间亮化</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6D6B9DE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重要建筑、重要位置可进行夜间亮化设计</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1D5208F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52247E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1259" w:type="dxa"/>
            <w:tcBorders>
              <w:top w:val="single" w:color="000000" w:sz="6" w:space="0"/>
              <w:left w:val="single" w:color="000000" w:sz="6" w:space="0"/>
              <w:bottom w:val="single" w:color="000000" w:sz="6" w:space="0"/>
              <w:right w:val="single" w:color="000000" w:sz="6" w:space="0"/>
            </w:tcBorders>
            <w:noWrap w:val="0"/>
            <w:vAlign w:val="center"/>
          </w:tcPr>
          <w:p w14:paraId="54E8EA4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产业</w:t>
            </w:r>
          </w:p>
          <w:p w14:paraId="297BDA9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楷体_GB2312" w:hAnsi="楷体_GB2312" w:eastAsia="楷体_GB2312" w:cs="楷体_GB2312"/>
                <w:color w:val="000000"/>
                <w:spacing w:val="0"/>
                <w:sz w:val="28"/>
                <w:szCs w:val="28"/>
              </w:rPr>
            </w:pPr>
            <w:r>
              <w:rPr>
                <w:rFonts w:hint="eastAsia" w:ascii="楷体_GB2312" w:hAnsi="楷体_GB2312" w:eastAsia="楷体_GB2312" w:cs="楷体_GB2312"/>
                <w:color w:val="000000"/>
                <w:spacing w:val="0"/>
                <w:sz w:val="28"/>
                <w:szCs w:val="28"/>
              </w:rPr>
              <w:t>配套</w:t>
            </w:r>
          </w:p>
        </w:tc>
        <w:tc>
          <w:tcPr>
            <w:tcW w:w="1550" w:type="dxa"/>
            <w:tcBorders>
              <w:top w:val="single" w:color="000000" w:sz="6" w:space="0"/>
              <w:left w:val="single" w:color="000000" w:sz="6" w:space="0"/>
              <w:bottom w:val="single" w:color="000000" w:sz="6" w:space="0"/>
              <w:right w:val="single" w:color="000000" w:sz="6" w:space="0"/>
            </w:tcBorders>
            <w:noWrap w:val="0"/>
            <w:vAlign w:val="center"/>
          </w:tcPr>
          <w:p w14:paraId="3C99387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交易市场</w:t>
            </w:r>
          </w:p>
        </w:tc>
        <w:tc>
          <w:tcPr>
            <w:tcW w:w="4844" w:type="dxa"/>
            <w:tcBorders>
              <w:top w:val="single" w:color="000000" w:sz="6" w:space="0"/>
              <w:left w:val="single" w:color="000000" w:sz="6" w:space="0"/>
              <w:bottom w:val="single" w:color="000000" w:sz="6" w:space="0"/>
              <w:right w:val="single" w:color="000000" w:sz="6" w:space="0"/>
            </w:tcBorders>
            <w:noWrap w:val="0"/>
            <w:vAlign w:val="center"/>
          </w:tcPr>
          <w:p w14:paraId="1A3D766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both"/>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结合各</w:t>
            </w:r>
            <w:r>
              <w:rPr>
                <w:rFonts w:hint="eastAsia" w:ascii="仿宋_GB2312" w:hAnsi="仿宋_GB2312" w:eastAsia="仿宋_GB2312" w:cs="仿宋_GB2312"/>
                <w:color w:val="000000"/>
                <w:spacing w:val="0"/>
                <w:sz w:val="28"/>
                <w:szCs w:val="28"/>
                <w:lang w:val="en-US" w:eastAsia="zh-CN"/>
              </w:rPr>
              <w:t>乡镇</w:t>
            </w:r>
            <w:r>
              <w:rPr>
                <w:rFonts w:hint="eastAsia" w:ascii="仿宋_GB2312" w:hAnsi="仿宋_GB2312" w:eastAsia="仿宋_GB2312" w:cs="仿宋_GB2312"/>
                <w:color w:val="000000"/>
                <w:spacing w:val="0"/>
                <w:sz w:val="28"/>
                <w:szCs w:val="28"/>
              </w:rPr>
              <w:t>产业特点，规划交易市场或展示场地</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2237E6F5">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5</w:t>
            </w:r>
          </w:p>
        </w:tc>
      </w:tr>
      <w:tr w14:paraId="347D71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7653" w:type="dxa"/>
            <w:gridSpan w:val="3"/>
            <w:tcBorders>
              <w:top w:val="single" w:color="000000" w:sz="6" w:space="0"/>
              <w:left w:val="single" w:color="000000" w:sz="6" w:space="0"/>
              <w:bottom w:val="single" w:color="000000" w:sz="6" w:space="0"/>
              <w:right w:val="single" w:color="000000" w:sz="6" w:space="0"/>
            </w:tcBorders>
            <w:noWrap w:val="0"/>
            <w:vAlign w:val="center"/>
          </w:tcPr>
          <w:p w14:paraId="4A2AB5A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lang w:eastAsia="zh-CN"/>
              </w:rPr>
            </w:pPr>
            <w:r>
              <w:rPr>
                <w:rFonts w:hint="eastAsia" w:ascii="仿宋_GB2312" w:hAnsi="仿宋_GB2312" w:eastAsia="仿宋_GB2312" w:cs="仿宋_GB2312"/>
                <w:color w:val="000000"/>
                <w:spacing w:val="0"/>
                <w:sz w:val="28"/>
                <w:szCs w:val="28"/>
              </w:rPr>
              <w:t>其他亮点</w:t>
            </w:r>
            <w:r>
              <w:rPr>
                <w:rFonts w:hint="eastAsia" w:ascii="仿宋_GB2312" w:hAnsi="仿宋_GB2312" w:eastAsia="仿宋_GB2312" w:cs="仿宋_GB2312"/>
                <w:color w:val="000000"/>
                <w:spacing w:val="0"/>
                <w:sz w:val="28"/>
                <w:szCs w:val="28"/>
                <w:lang w:eastAsia="zh-CN"/>
              </w:rPr>
              <w:t>（</w:t>
            </w:r>
            <w:r>
              <w:rPr>
                <w:rFonts w:hint="eastAsia" w:ascii="仿宋_GB2312" w:hAnsi="仿宋_GB2312" w:eastAsia="仿宋_GB2312" w:cs="仿宋_GB2312"/>
                <w:color w:val="000000"/>
                <w:spacing w:val="0"/>
                <w:sz w:val="28"/>
                <w:szCs w:val="28"/>
                <w:lang w:val="en-US" w:eastAsia="zh-CN"/>
              </w:rPr>
              <w:t>附加</w:t>
            </w:r>
            <w:r>
              <w:rPr>
                <w:rFonts w:hint="eastAsia" w:ascii="仿宋_GB2312" w:hAnsi="仿宋_GB2312" w:eastAsia="仿宋_GB2312" w:cs="仿宋_GB2312"/>
                <w:color w:val="000000"/>
                <w:spacing w:val="0"/>
                <w:sz w:val="28"/>
                <w:szCs w:val="28"/>
                <w:lang w:eastAsia="zh-CN"/>
              </w:rPr>
              <w:t>）</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7F9D271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10</w:t>
            </w:r>
          </w:p>
        </w:tc>
      </w:tr>
      <w:tr w14:paraId="149A39B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0" w:hRule="atLeast"/>
          <w:jc w:val="center"/>
        </w:trPr>
        <w:tc>
          <w:tcPr>
            <w:tcW w:w="7653" w:type="dxa"/>
            <w:gridSpan w:val="3"/>
            <w:tcBorders>
              <w:top w:val="single" w:color="000000" w:sz="6" w:space="0"/>
              <w:left w:val="single" w:color="000000" w:sz="6" w:space="0"/>
              <w:bottom w:val="single" w:color="000000" w:sz="6" w:space="0"/>
              <w:right w:val="single" w:color="000000" w:sz="6" w:space="0"/>
            </w:tcBorders>
            <w:noWrap w:val="0"/>
            <w:vAlign w:val="center"/>
          </w:tcPr>
          <w:p w14:paraId="0B75865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left="0"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总计</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14:paraId="57A66A9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3" w:beforeLines="20" w:beforeAutospacing="0" w:after="63" w:afterLines="20" w:afterAutospacing="0" w:line="440" w:lineRule="exact"/>
              <w:ind w:right="0" w:firstLine="0" w:firstLineChars="0"/>
              <w:jc w:val="center"/>
              <w:textAlignment w:val="auto"/>
              <w:outlineLvl w:val="9"/>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color w:val="000000"/>
                <w:spacing w:val="0"/>
                <w:sz w:val="28"/>
                <w:szCs w:val="28"/>
              </w:rPr>
              <w:t>1</w:t>
            </w:r>
            <w:r>
              <w:rPr>
                <w:rFonts w:hint="eastAsia" w:ascii="仿宋_GB2312" w:hAnsi="仿宋_GB2312" w:eastAsia="仿宋_GB2312" w:cs="仿宋_GB2312"/>
                <w:color w:val="000000"/>
                <w:spacing w:val="0"/>
                <w:sz w:val="28"/>
                <w:szCs w:val="28"/>
                <w:lang w:val="en-US" w:eastAsia="zh-CN"/>
              </w:rPr>
              <w:t>0</w:t>
            </w:r>
            <w:r>
              <w:rPr>
                <w:rFonts w:hint="eastAsia" w:ascii="仿宋_GB2312" w:hAnsi="仿宋_GB2312" w:eastAsia="仿宋_GB2312" w:cs="仿宋_GB2312"/>
                <w:color w:val="000000"/>
                <w:spacing w:val="0"/>
                <w:sz w:val="28"/>
                <w:szCs w:val="28"/>
              </w:rPr>
              <w:t>0</w:t>
            </w:r>
          </w:p>
        </w:tc>
      </w:tr>
    </w:tbl>
    <w:p w14:paraId="1420E8B4">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2450339F">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56E3F067">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3A0855FE">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612C68C0">
      <w:pPr>
        <w:pStyle w:val="19"/>
        <w:rPr>
          <w:rFonts w:hint="eastAsia" w:ascii="方正小标宋简体" w:hAnsi="方正小标宋简体" w:eastAsia="方正小标宋简体" w:cs="方正小标宋简体"/>
          <w:color w:val="000000"/>
          <w:kern w:val="0"/>
          <w:sz w:val="44"/>
          <w:szCs w:val="44"/>
          <w:lang w:val="en-US" w:eastAsia="zh-CN" w:bidi="ar"/>
        </w:rPr>
      </w:pPr>
    </w:p>
    <w:p w14:paraId="51D34D19">
      <w:pPr>
        <w:pStyle w:val="19"/>
        <w:rPr>
          <w:rFonts w:hint="eastAsia" w:ascii="方正小标宋简体" w:hAnsi="方正小标宋简体" w:eastAsia="方正小标宋简体" w:cs="方正小标宋简体"/>
          <w:color w:val="000000"/>
          <w:kern w:val="0"/>
          <w:sz w:val="44"/>
          <w:szCs w:val="44"/>
          <w:lang w:val="en-US" w:eastAsia="zh-CN" w:bidi="ar"/>
        </w:rPr>
      </w:pPr>
    </w:p>
    <w:p w14:paraId="44E78C4B">
      <w:pPr>
        <w:keepNext w:val="0"/>
        <w:keepLines w:val="0"/>
        <w:pageBreakBefore w:val="0"/>
        <w:widowControl/>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仿宋_GB2312" w:hAnsi="仿宋_GB2312" w:eastAsia="仿宋_GB2312" w:cs="仿宋_GB2312"/>
          <w:sz w:val="32"/>
          <w:szCs w:val="32"/>
        </w:rPr>
        <w:t>郯政</w:t>
      </w:r>
      <w:r>
        <w:rPr>
          <w:rFonts w:hint="eastAsia" w:ascii="仿宋_GB2312" w:hAnsi="仿宋_GB2312" w:eastAsia="仿宋_GB2312" w:cs="仿宋_GB2312"/>
          <w:sz w:val="32"/>
          <w:szCs w:val="32"/>
          <w:lang w:val="en-US" w:eastAsia="zh-CN"/>
        </w:rPr>
        <w:t>办字</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号</w:t>
      </w:r>
    </w:p>
    <w:p w14:paraId="13467569">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74DD2BB9">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郯城县人民政府办公室</w:t>
      </w:r>
    </w:p>
    <w:p w14:paraId="0BA6C09D">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lang w:val="en-US" w:eastAsia="zh-CN" w:bidi="ar"/>
        </w:rPr>
        <w:t>关于建立全县重点水利工程建设</w:t>
      </w:r>
    </w:p>
    <w:p w14:paraId="134ED0CF">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联席会议制度的通知</w:t>
      </w:r>
    </w:p>
    <w:p w14:paraId="53E32B68">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sz w:val="32"/>
          <w:szCs w:val="32"/>
        </w:rPr>
      </w:pPr>
    </w:p>
    <w:p w14:paraId="75CD65E0">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各乡镇人民政府，</w:t>
      </w:r>
      <w:r>
        <w:rPr>
          <w:rFonts w:hint="eastAsia" w:ascii="仿宋_GB2312" w:hAnsi="仿宋_GB2312" w:eastAsia="仿宋_GB2312" w:cs="仿宋_GB2312"/>
          <w:sz w:val="32"/>
          <w:szCs w:val="32"/>
          <w:lang w:val="en-US" w:eastAsia="zh-CN"/>
        </w:rPr>
        <w:t>郯城街道办事处，县直有关部门、单位，郯城经济开发区管委会，新村银杏产业开发区管委会：</w:t>
      </w:r>
    </w:p>
    <w:p w14:paraId="456169E8">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为加强对全县重点水利工程建设工作的组织领导和统筹协调，根据《山东省重点水利工程建设实施方案》要求，经研究，决定建立全县重点水利工程建设联席会议制度。现将有关事项通知如下：</w:t>
      </w:r>
    </w:p>
    <w:p w14:paraId="353EE997">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ascii="黑体" w:hAnsi="宋体" w:eastAsia="黑体" w:cs="黑体"/>
          <w:color w:val="000000"/>
          <w:kern w:val="0"/>
          <w:sz w:val="32"/>
          <w:szCs w:val="32"/>
          <w:lang w:val="en-US" w:eastAsia="zh-CN" w:bidi="ar"/>
        </w:rPr>
        <w:t xml:space="preserve">一、联席会议组成人员 </w:t>
      </w:r>
    </w:p>
    <w:p w14:paraId="451135E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召 集 人：于广威  县委副书记、县长</w:t>
      </w:r>
    </w:p>
    <w:p w14:paraId="16092CAE">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副召集人：张玉安  县政府副县长</w:t>
      </w:r>
    </w:p>
    <w:p w14:paraId="64B4F43F">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孟  欣  县政府党组成员、政府办公室主任</w:t>
      </w:r>
    </w:p>
    <w:p w14:paraId="65C701DD">
      <w:pPr>
        <w:keepNext w:val="0"/>
        <w:keepLines w:val="0"/>
        <w:pageBreakBefore w:val="0"/>
        <w:widowControl/>
        <w:suppressLineNumbers w:val="0"/>
        <w:kinsoku/>
        <w:wordWrap/>
        <w:overflowPunct/>
        <w:topLinePunct w:val="0"/>
        <w:autoSpaceDE/>
        <w:autoSpaceDN/>
        <w:bidi w:val="0"/>
        <w:adjustRightInd/>
        <w:snapToGrid/>
        <w:spacing w:line="600" w:lineRule="exact"/>
        <w:ind w:left="3518" w:leftChars="304" w:hanging="2880" w:hangingChars="900"/>
        <w:jc w:val="left"/>
        <w:textAlignment w:val="auto"/>
        <w:rPr>
          <w:rFonts w:hint="eastAsia" w:ascii="仿宋_GB2312" w:hAnsi="仿宋_GB2312" w:eastAsia="仿宋_GB2312" w:cs="Times New Roman"/>
          <w:w w:val="100"/>
          <w:kern w:val="0"/>
          <w:sz w:val="32"/>
          <w:szCs w:val="20"/>
        </w:rPr>
      </w:pPr>
      <w:r>
        <w:rPr>
          <w:rFonts w:hint="eastAsia" w:ascii="仿宋_GB2312" w:hAnsi="宋体" w:eastAsia="仿宋_GB2312" w:cs="仿宋_GB2312"/>
          <w:color w:val="000000"/>
          <w:kern w:val="0"/>
          <w:sz w:val="32"/>
          <w:szCs w:val="32"/>
          <w:lang w:val="en-US" w:eastAsia="zh-CN" w:bidi="ar"/>
        </w:rPr>
        <w:t xml:space="preserve">成    员：王绍强  </w:t>
      </w:r>
      <w:r>
        <w:rPr>
          <w:rFonts w:hint="eastAsia" w:ascii="仿宋_GB2312" w:hAnsi="仿宋_GB2312" w:eastAsia="仿宋_GB2312" w:cs="Times New Roman"/>
          <w:w w:val="100"/>
          <w:kern w:val="0"/>
          <w:sz w:val="32"/>
          <w:szCs w:val="20"/>
        </w:rPr>
        <w:t>县国有林场总场场长、县自然资源和规划局（林业局）局长</w:t>
      </w:r>
    </w:p>
    <w:p w14:paraId="3EF14BE2">
      <w:pPr>
        <w:keepNext w:val="0"/>
        <w:keepLines w:val="0"/>
        <w:pageBreakBefore w:val="0"/>
        <w:widowControl/>
        <w:suppressLineNumbers w:val="0"/>
        <w:kinsoku/>
        <w:wordWrap/>
        <w:overflowPunct/>
        <w:topLinePunct w:val="0"/>
        <w:autoSpaceDE/>
        <w:autoSpaceDN/>
        <w:bidi w:val="0"/>
        <w:adjustRightInd/>
        <w:snapToGrid/>
        <w:spacing w:line="600" w:lineRule="exact"/>
        <w:ind w:left="3514" w:leftChars="1064" w:hanging="1280" w:hangingChars="400"/>
        <w:jc w:val="left"/>
        <w:textAlignment w:val="auto"/>
        <w:rPr>
          <w:rFonts w:hint="default"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许新年  县政府办公室副主任、县政务保障促进中心主任</w:t>
      </w:r>
    </w:p>
    <w:p w14:paraId="52E48B5E">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张炳忠  县发改局局长 </w:t>
      </w:r>
    </w:p>
    <w:p w14:paraId="5C2F6DE8">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rPr>
          <w:rFonts w:hint="default"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匡  伟  县财政局局长</w:t>
      </w:r>
    </w:p>
    <w:p w14:paraId="45ED0A0E">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pPr>
      <w:r>
        <w:rPr>
          <w:rFonts w:hint="eastAsia" w:ascii="仿宋_GB2312" w:hAnsi="宋体" w:eastAsia="仿宋_GB2312" w:cs="仿宋_GB2312"/>
          <w:color w:val="000000"/>
          <w:kern w:val="0"/>
          <w:sz w:val="32"/>
          <w:szCs w:val="32"/>
          <w:lang w:val="en-US" w:eastAsia="zh-CN" w:bidi="ar"/>
        </w:rPr>
        <w:t xml:space="preserve">杜清华  县住房和城乡建设局局长 </w:t>
      </w:r>
    </w:p>
    <w:p w14:paraId="0CDF7841">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pPr>
      <w:r>
        <w:rPr>
          <w:rFonts w:hint="eastAsia" w:ascii="仿宋_GB2312" w:hAnsi="宋体" w:eastAsia="仿宋_GB2312" w:cs="仿宋_GB2312"/>
          <w:color w:val="000000"/>
          <w:kern w:val="0"/>
          <w:sz w:val="32"/>
          <w:szCs w:val="32"/>
          <w:lang w:val="en-US" w:eastAsia="zh-CN" w:bidi="ar"/>
        </w:rPr>
        <w:t>陈  峰  县交通运输局局长</w:t>
      </w:r>
    </w:p>
    <w:p w14:paraId="71BBE7BD">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pPr>
      <w:r>
        <w:rPr>
          <w:rFonts w:hint="eastAsia" w:ascii="仿宋_GB2312" w:hAnsi="宋体" w:eastAsia="仿宋_GB2312" w:cs="仿宋_GB2312"/>
          <w:color w:val="000000"/>
          <w:kern w:val="0"/>
          <w:sz w:val="32"/>
          <w:szCs w:val="32"/>
          <w:lang w:val="en-US" w:eastAsia="zh-CN" w:bidi="ar"/>
        </w:rPr>
        <w:t>倪  晨  县水利局局长</w:t>
      </w:r>
    </w:p>
    <w:p w14:paraId="29B33392">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pPr>
      <w:r>
        <w:rPr>
          <w:rFonts w:hint="eastAsia" w:ascii="仿宋_GB2312" w:hAnsi="宋体" w:eastAsia="仿宋_GB2312" w:cs="仿宋_GB2312"/>
          <w:color w:val="000000"/>
          <w:kern w:val="0"/>
          <w:sz w:val="32"/>
          <w:szCs w:val="32"/>
          <w:lang w:val="en-US" w:eastAsia="zh-CN" w:bidi="ar"/>
        </w:rPr>
        <w:t>鲁成凯  县应急管理局局长</w:t>
      </w:r>
    </w:p>
    <w:p w14:paraId="6788AD5D">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居国防  县行政审批服务局局长</w:t>
      </w:r>
    </w:p>
    <w:p w14:paraId="7C3F3ED7">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陈康健  市生态环境局郯城县分局局长</w:t>
      </w:r>
    </w:p>
    <w:p w14:paraId="7C5B401D">
      <w:pPr>
        <w:keepNext w:val="0"/>
        <w:keepLines w:val="0"/>
        <w:pageBreakBefore w:val="0"/>
        <w:widowControl/>
        <w:suppressLineNumbers w:val="0"/>
        <w:kinsoku/>
        <w:wordWrap/>
        <w:overflowPunct/>
        <w:topLinePunct w:val="0"/>
        <w:autoSpaceDE/>
        <w:autoSpaceDN/>
        <w:bidi w:val="0"/>
        <w:adjustRightInd/>
        <w:snapToGrid/>
        <w:spacing w:line="600" w:lineRule="exact"/>
        <w:ind w:firstLine="2240" w:firstLineChars="700"/>
        <w:jc w:val="left"/>
        <w:textAlignment w:val="auto"/>
      </w:pPr>
      <w:r>
        <w:rPr>
          <w:rFonts w:hint="eastAsia" w:ascii="仿宋_GB2312" w:hAnsi="宋体" w:eastAsia="仿宋_GB2312" w:cs="仿宋_GB2312"/>
          <w:color w:val="000000"/>
          <w:kern w:val="0"/>
          <w:sz w:val="32"/>
          <w:szCs w:val="32"/>
          <w:lang w:val="en-US" w:eastAsia="zh-CN" w:bidi="ar"/>
        </w:rPr>
        <w:t>庞永祥  郯城河道管理局局长</w:t>
      </w:r>
    </w:p>
    <w:p w14:paraId="3B60938C">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联席会议下设办公室，办公室设在县水利局，办公室主任由倪晨同志兼任。办公室主要负责联席会议的组织、联络和协调工作；根据召集人、副召集人的提议或成员单位的建议，研究提出联席会议议题；汇总并通报成员单位有关工作情况；协调、督促成员单位履行工作职责和落实联席会议决定事项；承办联席会议交办的其他事项。成员单位由县发展和改革局、县财政局、县自然资源和规划局、县住房和城乡建设局、县交通运输局、县水利局、县应急管理局、县行政审批服务局、市生态环境局郯城县分局、郯城河道管理局组成。</w:t>
      </w:r>
    </w:p>
    <w:p w14:paraId="04881CF9">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黑体" w:hAnsi="宋体" w:eastAsia="黑体" w:cs="黑体"/>
          <w:color w:val="000000"/>
          <w:kern w:val="0"/>
          <w:sz w:val="32"/>
          <w:szCs w:val="32"/>
          <w:lang w:val="en-US" w:eastAsia="zh-CN" w:bidi="ar"/>
        </w:rPr>
        <w:t>二、联席会议主要职责</w:t>
      </w:r>
    </w:p>
    <w:p w14:paraId="4616FDAD">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研究解决重点水利工程建设中的重大问题，统筹协调相关部门职责分工，确保按期保质完成建设任务。</w:t>
      </w:r>
    </w:p>
    <w:p w14:paraId="3E86D529">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（一）贯彻落实省委省政府、市委市政府、县委县政府关于加快重点水利工程建设的工作部署和有关要求；</w:t>
      </w:r>
    </w:p>
    <w:p w14:paraId="2D5B965D">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（二）统筹协调全县重点水利工程建设工作，研究保障建设用地、足额落实资金、加快前期工作（实行容缺审批、下放审批权限、简化审批流程等）、加强项目管理、强化督导调度等重点和难点问题；</w:t>
      </w:r>
    </w:p>
    <w:p w14:paraId="4A97D53D">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（三）指导、督促、检查有关乡镇和部门工作任务的落实情况；研究推进措施，制定推进政策，加快工程建设进度；加强督导检查，在确保满足质量、安全和环保的要求下，按期完成建设任务；</w:t>
      </w:r>
    </w:p>
    <w:p w14:paraId="172F5194">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（四）完成其他重点工作。</w:t>
      </w:r>
    </w:p>
    <w:p w14:paraId="268C2930">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宋体" w:eastAsia="黑体" w:cs="黑体"/>
          <w:color w:val="000000"/>
          <w:kern w:val="0"/>
          <w:sz w:val="32"/>
          <w:szCs w:val="32"/>
          <w:lang w:val="en-US" w:eastAsia="zh-CN" w:bidi="ar"/>
        </w:rPr>
      </w:pPr>
      <w:r>
        <w:rPr>
          <w:rFonts w:hint="eastAsia" w:ascii="黑体" w:hAnsi="宋体" w:eastAsia="黑体" w:cs="黑体"/>
          <w:color w:val="000000"/>
          <w:kern w:val="0"/>
          <w:sz w:val="32"/>
          <w:szCs w:val="32"/>
          <w:lang w:val="en-US" w:eastAsia="zh-CN" w:bidi="ar"/>
        </w:rPr>
        <w:t>三、联席会议议事制度</w:t>
      </w:r>
    </w:p>
    <w:p w14:paraId="49C5F70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（一）联席会议由召集人或副召集人主持，根据工作需要召开全体会议或部分成员会议；</w:t>
      </w:r>
    </w:p>
    <w:p w14:paraId="6EDAD3FC">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（二）联席会议由联席会议办公室提出需研究解决的问题和事项，报召集人审定会议议题，确定会议时间及形式，由召集人或者召集人委托的成员召集；</w:t>
      </w:r>
    </w:p>
    <w:p w14:paraId="4794462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（三）联席会议以会议纪要形式明确会议议定事项，印发各相关单位；</w:t>
      </w:r>
    </w:p>
    <w:p w14:paraId="60F98D71">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_GB2312" w:hAnsi="宋体" w:eastAsia="仿宋_GB2312" w:cs="仿宋_GB2312"/>
          <w:color w:val="000000"/>
          <w:kern w:val="0"/>
          <w:sz w:val="32"/>
          <w:szCs w:val="32"/>
          <w:lang w:val="en-US" w:eastAsia="zh-CN" w:bidi="ar"/>
        </w:rPr>
        <w:t>（四）各联席会议成员单位要认真落实联席会议安排的工作任务，按时向联席会议办公室报送工作情况。各成员之间要加强信息共享和沟通联系，形成工作合力；</w:t>
      </w:r>
    </w:p>
    <w:p w14:paraId="3CF3ABE5">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（五）各联席会议成员单位分别确定一名联络员，联络员因工作变动需要调整的，由所在单位及时调整，报联席会议办公室备案。</w:t>
      </w:r>
    </w:p>
    <w:p w14:paraId="53C2E6A7">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p>
    <w:p w14:paraId="518ABD0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kern w:val="0"/>
          <w:sz w:val="32"/>
          <w:szCs w:val="32"/>
          <w:lang w:val="en-US" w:eastAsia="zh-CN" w:bidi="ar"/>
        </w:rPr>
      </w:pPr>
    </w:p>
    <w:p w14:paraId="278BAFF3">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righ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郯城县人民政府办公室</w:t>
      </w:r>
    </w:p>
    <w:p w14:paraId="6B125B1F">
      <w:pPr>
        <w:keepNext w:val="0"/>
        <w:keepLines w:val="0"/>
        <w:pageBreakBefore w:val="0"/>
        <w:widowControl/>
        <w:suppressLineNumbers w:val="0"/>
        <w:kinsoku/>
        <w:wordWrap w:val="0"/>
        <w:overflowPunct/>
        <w:topLinePunct w:val="0"/>
        <w:autoSpaceDE/>
        <w:autoSpaceDN/>
        <w:bidi w:val="0"/>
        <w:adjustRightInd/>
        <w:snapToGrid/>
        <w:spacing w:line="600" w:lineRule="exact"/>
        <w:ind w:firstLine="640" w:firstLineChars="200"/>
        <w:jc w:val="righ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  2025年3月14日  </w:t>
      </w:r>
    </w:p>
    <w:p w14:paraId="162252CF">
      <w:pPr>
        <w:bidi w:val="0"/>
        <w:rPr>
          <w:rFonts w:hint="default" w:ascii="Calibri" w:hAnsi="Calibri" w:eastAsia="宋体" w:cs="Times New Roman"/>
          <w:kern w:val="2"/>
          <w:sz w:val="21"/>
          <w:szCs w:val="24"/>
          <w:lang w:val="en-US" w:eastAsia="zh-CN" w:bidi="ar-SA"/>
        </w:rPr>
      </w:pPr>
    </w:p>
    <w:p w14:paraId="15865683">
      <w:pPr>
        <w:bidi w:val="0"/>
        <w:rPr>
          <w:rFonts w:hint="default"/>
          <w:lang w:val="en-US" w:eastAsia="zh-CN"/>
        </w:rPr>
      </w:pPr>
    </w:p>
    <w:p w14:paraId="03AE68B1">
      <w:pPr>
        <w:bidi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（此件公开发布）</w:t>
      </w:r>
    </w:p>
    <w:p w14:paraId="0747C3FD">
      <w:pPr>
        <w:bidi w:val="0"/>
        <w:rPr>
          <w:rFonts w:hint="default"/>
          <w:lang w:val="en-US" w:eastAsia="zh-CN"/>
        </w:rPr>
      </w:pPr>
    </w:p>
    <w:p w14:paraId="67A9B823">
      <w:pPr>
        <w:bidi w:val="0"/>
        <w:rPr>
          <w:rFonts w:hint="default"/>
          <w:lang w:val="en-US" w:eastAsia="zh-CN"/>
        </w:rPr>
      </w:pPr>
    </w:p>
    <w:p w14:paraId="13A7ABE5">
      <w:pPr>
        <w:rPr>
          <w:rFonts w:hint="eastAsia"/>
          <w:lang w:val="en-US" w:eastAsia="zh-CN"/>
        </w:rPr>
      </w:pPr>
    </w:p>
    <w:sectPr>
      <w:footerReference r:id="rId9" w:type="default"/>
      <w:pgSz w:w="11906" w:h="16838"/>
      <w:pgMar w:top="1814" w:right="1587" w:bottom="1701" w:left="1587" w:header="851" w:footer="992"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0AF3EE-8FB3-4344-87ED-CAAFCF455D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396A05B1-8D96-4A81-A21B-C9C229D3EAD5}"/>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embedRegular r:id="rId3" w:fontKey="{3DA3D89F-54E2-4FC1-9366-45253197FD23}"/>
  </w:font>
  <w:font w:name="仿宋_GB2312">
    <w:panose1 w:val="02010609030101010101"/>
    <w:charset w:val="86"/>
    <w:family w:val="modern"/>
    <w:pitch w:val="default"/>
    <w:sig w:usb0="00000001" w:usb1="080E0000" w:usb2="00000000" w:usb3="00000000" w:csb0="00040000" w:csb1="00000000"/>
    <w:embedRegular r:id="rId4" w:fontKey="{A809E2C7-E5AA-4A47-B8ED-131293912832}"/>
  </w:font>
  <w:font w:name="文星仿宋">
    <w:panose1 w:val="02010609000101010101"/>
    <w:charset w:val="86"/>
    <w:family w:val="modern"/>
    <w:pitch w:val="default"/>
    <w:sig w:usb0="00000001" w:usb1="080E0000" w:usb2="00000000" w:usb3="00000000" w:csb0="00040000" w:csb1="00000000"/>
    <w:embedRegular r:id="rId5" w:fontKey="{A1647085-6BD5-4011-8F95-DA13F62593DA}"/>
  </w:font>
  <w:font w:name="楷体_GB2312">
    <w:panose1 w:val="02010609030101010101"/>
    <w:charset w:val="86"/>
    <w:family w:val="modern"/>
    <w:pitch w:val="default"/>
    <w:sig w:usb0="00000001" w:usb1="080E0000" w:usb2="00000000" w:usb3="00000000" w:csb0="00040000" w:csb1="00000000"/>
    <w:embedRegular r:id="rId6" w:fontKey="{C532B0C2-E67E-4D5E-9401-7FA1065384D5}"/>
  </w:font>
  <w:font w:name="仿宋">
    <w:panose1 w:val="02010609060101010101"/>
    <w:charset w:val="86"/>
    <w:family w:val="auto"/>
    <w:pitch w:val="default"/>
    <w:sig w:usb0="800002BF" w:usb1="38CF7CFA" w:usb2="00000016" w:usb3="00000000" w:csb0="00040001" w:csb1="00000000"/>
    <w:embedRegular r:id="rId7" w:fontKey="{13AC3C77-0889-409A-B578-399FF91572D9}"/>
  </w:font>
  <w:font w:name="方正小标宋_GBK">
    <w:panose1 w:val="02000000000000000000"/>
    <w:charset w:val="86"/>
    <w:family w:val="auto"/>
    <w:pitch w:val="default"/>
    <w:sig w:usb0="A00002BF" w:usb1="38CF7CFA" w:usb2="00082016" w:usb3="00000000" w:csb0="00040001" w:csb1="00000000"/>
  </w:font>
  <w:font w:name="MathJax_WinChrome">
    <w:altName w:val="Segoe Print"/>
    <w:panose1 w:val="00000000000000000000"/>
    <w:charset w:val="00"/>
    <w:family w:val="auto"/>
    <w:pitch w:val="default"/>
    <w:sig w:usb0="00000000" w:usb1="00000000" w:usb2="00000000" w:usb3="00000000" w:csb0="2000008F" w:csb1="5E030000"/>
  </w:font>
  <w:font w:name="Segoe Print">
    <w:panose1 w:val="02000600000000000000"/>
    <w:charset w:val="00"/>
    <w:family w:val="auto"/>
    <w:pitch w:val="default"/>
    <w:sig w:usb0="0000028F" w:usb1="00000000" w:usb2="00000000" w:usb3="00000000" w:csb0="2000009F" w:csb1="47010000"/>
  </w:font>
  <w:font w:name="文星楷体">
    <w:altName w:val="楷体"/>
    <w:panose1 w:val="02010609000101010101"/>
    <w:charset w:val="86"/>
    <w:family w:val="auto"/>
    <w:pitch w:val="default"/>
    <w:sig w:usb0="00000000" w:usb1="00000000" w:usb2="00000000" w:usb3="00000000" w:csb0="00040000" w:csb1="00000000"/>
  </w:font>
  <w:font w:name="文星标宋">
    <w:altName w:val="文星仿宋"/>
    <w:panose1 w:val="02010609000101010101"/>
    <w:charset w:val="86"/>
    <w:family w:val="modern"/>
    <w:pitch w:val="default"/>
    <w:sig w:usb0="00000000" w:usb1="00000000" w:usb2="00000000" w:usb3="00000000" w:csb0="00040000" w:csb1="00000000"/>
  </w:font>
  <w:font w:name="Calibri Light">
    <w:panose1 w:val="020F0302020204030204"/>
    <w:charset w:val="00"/>
    <w:family w:val="auto"/>
    <w:pitch w:val="default"/>
    <w:sig w:usb0="E0002A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方正全福体">
    <w:panose1 w:val="02000500000000000000"/>
    <w:charset w:val="86"/>
    <w:family w:val="auto"/>
    <w:pitch w:val="default"/>
    <w:sig w:usb0="A00002BF" w:usb1="184F6CFA" w:usb2="00000012" w:usb3="00000000" w:csb0="00040001" w:csb1="00000000"/>
  </w:font>
  <w:font w:name="文道星野宋">
    <w:panose1 w:val="02010600040101010101"/>
    <w:charset w:val="86"/>
    <w:family w:val="auto"/>
    <w:pitch w:val="default"/>
    <w:sig w:usb0="00000283" w:usb1="180F0C10" w:usb2="00000012" w:usb3="00000000" w:csb0="00060001" w:csb1="00000000"/>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1BCA">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2486A">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36C1">
    <w:pPr>
      <w:pStyle w:val="13"/>
      <w:framePr w:wrap="around" w:vAnchor="text" w:hAnchor="margin" w:xAlign="center" w:y="1"/>
      <w:rPr>
        <w:rStyle w:val="24"/>
      </w:rPr>
    </w:pPr>
    <w:r>
      <w:fldChar w:fldCharType="begin"/>
    </w:r>
    <w:r>
      <w:rPr>
        <w:rStyle w:val="24"/>
      </w:rPr>
      <w:instrText xml:space="preserve">PAGE  </w:instrText>
    </w:r>
    <w:r>
      <w:fldChar w:fldCharType="separate"/>
    </w:r>
    <w:r>
      <w:rPr>
        <w:rStyle w:val="24"/>
      </w:rPr>
      <w:t>- 2 -</w:t>
    </w:r>
    <w:r>
      <w:fldChar w:fldCharType="end"/>
    </w:r>
  </w:p>
  <w:p w14:paraId="4075DE84">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B3B4A">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CEA9C">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BCEA9C">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D8EDD">
    <w:pPr>
      <w:pStyle w:val="14"/>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403951B7"/>
    <w:rsid w:val="00C15936"/>
    <w:rsid w:val="02A71DC2"/>
    <w:rsid w:val="036B2C8D"/>
    <w:rsid w:val="084F49D2"/>
    <w:rsid w:val="08AE694A"/>
    <w:rsid w:val="0C480432"/>
    <w:rsid w:val="0CA24B97"/>
    <w:rsid w:val="0CCA3EF2"/>
    <w:rsid w:val="0FC3352F"/>
    <w:rsid w:val="113F417A"/>
    <w:rsid w:val="14A22264"/>
    <w:rsid w:val="1B173EB2"/>
    <w:rsid w:val="21017C02"/>
    <w:rsid w:val="21D92B67"/>
    <w:rsid w:val="244377F9"/>
    <w:rsid w:val="25162EBD"/>
    <w:rsid w:val="25AA5F2C"/>
    <w:rsid w:val="285753DD"/>
    <w:rsid w:val="296316E5"/>
    <w:rsid w:val="29AC2292"/>
    <w:rsid w:val="2BE023BB"/>
    <w:rsid w:val="2C7E7C57"/>
    <w:rsid w:val="2CBF2D09"/>
    <w:rsid w:val="2CD80157"/>
    <w:rsid w:val="2D480265"/>
    <w:rsid w:val="2DA17ECF"/>
    <w:rsid w:val="2F1A21A8"/>
    <w:rsid w:val="369169D1"/>
    <w:rsid w:val="39E210F9"/>
    <w:rsid w:val="3AF760A9"/>
    <w:rsid w:val="403951B7"/>
    <w:rsid w:val="439873F8"/>
    <w:rsid w:val="44FB25AA"/>
    <w:rsid w:val="4AFB6935"/>
    <w:rsid w:val="4BA964A0"/>
    <w:rsid w:val="50F46A2A"/>
    <w:rsid w:val="514C1DBB"/>
    <w:rsid w:val="526661B8"/>
    <w:rsid w:val="545E0C19"/>
    <w:rsid w:val="54820973"/>
    <w:rsid w:val="54D519BC"/>
    <w:rsid w:val="56EE4F2B"/>
    <w:rsid w:val="587649FF"/>
    <w:rsid w:val="5D4D28E9"/>
    <w:rsid w:val="61043970"/>
    <w:rsid w:val="62F82F7B"/>
    <w:rsid w:val="630C29C8"/>
    <w:rsid w:val="636724EC"/>
    <w:rsid w:val="65426A52"/>
    <w:rsid w:val="6767185A"/>
    <w:rsid w:val="68642C71"/>
    <w:rsid w:val="6864524C"/>
    <w:rsid w:val="69EA5EE9"/>
    <w:rsid w:val="6BDF3567"/>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1"/>
    <w:pPr>
      <w:ind w:left="1277" w:right="1432"/>
      <w:jc w:val="center"/>
      <w:outlineLvl w:val="0"/>
    </w:pPr>
    <w:rPr>
      <w:sz w:val="44"/>
      <w:szCs w:val="44"/>
    </w:rPr>
  </w:style>
  <w:style w:type="paragraph" w:styleId="3">
    <w:name w:val="heading 2"/>
    <w:basedOn w:val="1"/>
    <w:next w:val="1"/>
    <w:link w:val="47"/>
    <w:autoRedefine/>
    <w:unhideWhenUsed/>
    <w:qFormat/>
    <w:uiPriority w:val="9"/>
    <w:pPr>
      <w:keepNext/>
      <w:keepLines/>
      <w:jc w:val="left"/>
      <w:outlineLvl w:val="1"/>
    </w:pPr>
    <w:rPr>
      <w:rFonts w:eastAsia="楷体" w:cs="Times New Roman"/>
      <w:bCs/>
      <w:szCs w:val="32"/>
    </w:rPr>
  </w:style>
  <w:style w:type="paragraph" w:styleId="4">
    <w:name w:val="heading 3"/>
    <w:basedOn w:val="1"/>
    <w:next w:val="1"/>
    <w:link w:val="48"/>
    <w:autoRedefine/>
    <w:qFormat/>
    <w:uiPriority w:val="0"/>
    <w:pPr>
      <w:keepNext/>
      <w:keepLines/>
      <w:spacing w:line="413" w:lineRule="auto"/>
      <w:outlineLvl w:val="2"/>
    </w:pPr>
    <w:rPr>
      <w:b/>
      <w:sz w:val="32"/>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99"/>
    <w:pPr>
      <w:overflowPunct w:val="0"/>
      <w:autoSpaceDE w:val="0"/>
      <w:autoSpaceDN w:val="0"/>
      <w:ind w:firstLine="420" w:firstLineChars="200"/>
    </w:pPr>
    <w:rPr>
      <w:sz w:val="32"/>
      <w:szCs w:val="21"/>
    </w:rPr>
  </w:style>
  <w:style w:type="paragraph" w:styleId="6">
    <w:name w:val="Body Text"/>
    <w:basedOn w:val="1"/>
    <w:next w:val="1"/>
    <w:autoRedefine/>
    <w:qFormat/>
    <w:uiPriority w:val="99"/>
    <w:pPr>
      <w:autoSpaceDE w:val="0"/>
      <w:autoSpaceDN w:val="0"/>
      <w:jc w:val="left"/>
    </w:pPr>
    <w:rPr>
      <w:rFonts w:ascii="宋体" w:hAnsi="宋体" w:cs="宋体"/>
      <w:kern w:val="0"/>
      <w:sz w:val="32"/>
      <w:szCs w:val="32"/>
      <w:lang w:val="zh-CN"/>
    </w:rPr>
  </w:style>
  <w:style w:type="paragraph" w:styleId="7">
    <w:name w:val="Body Text Indent"/>
    <w:basedOn w:val="1"/>
    <w:next w:val="5"/>
    <w:autoRedefine/>
    <w:qFormat/>
    <w:uiPriority w:val="99"/>
    <w:pPr>
      <w:spacing w:after="120"/>
      <w:ind w:left="420" w:leftChars="200"/>
    </w:pPr>
  </w:style>
  <w:style w:type="paragraph" w:styleId="8">
    <w:name w:val="toc 5"/>
    <w:basedOn w:val="1"/>
    <w:next w:val="1"/>
    <w:autoRedefine/>
    <w:qFormat/>
    <w:uiPriority w:val="0"/>
    <w:pPr>
      <w:ind w:left="1680" w:leftChars="800"/>
    </w:pPr>
  </w:style>
  <w:style w:type="paragraph" w:styleId="9">
    <w:name w:val="toc 3"/>
    <w:next w:val="1"/>
    <w:autoRedefine/>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0">
    <w:name w:val="Plain Text"/>
    <w:basedOn w:val="1"/>
    <w:autoRedefine/>
    <w:qFormat/>
    <w:uiPriority w:val="99"/>
    <w:rPr>
      <w:rFonts w:ascii="宋体" w:hAnsi="Courier New" w:eastAsia="宋体" w:cs="Courier New"/>
      <w:szCs w:val="21"/>
    </w:rPr>
  </w:style>
  <w:style w:type="paragraph" w:styleId="11">
    <w:name w:val="Body Text Indent 2"/>
    <w:basedOn w:val="1"/>
    <w:autoRedefine/>
    <w:qFormat/>
    <w:uiPriority w:val="0"/>
    <w:pPr>
      <w:spacing w:after="120" w:afterLines="0" w:afterAutospacing="0" w:line="480" w:lineRule="auto"/>
      <w:ind w:left="420" w:leftChars="200"/>
    </w:pPr>
  </w:style>
  <w:style w:type="paragraph" w:styleId="12">
    <w:name w:val="Balloon Text"/>
    <w:basedOn w:val="1"/>
    <w:autoRedefine/>
    <w:qFormat/>
    <w:uiPriority w:val="0"/>
    <w:rPr>
      <w:rFonts w:ascii="Times New Roman" w:hAnsi="Times New Roman" w:eastAsia="宋体" w:cs="Times New Roman"/>
      <w:sz w:val="18"/>
      <w:szCs w:val="18"/>
    </w:r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6">
    <w:name w:val="toc 2"/>
    <w:basedOn w:val="1"/>
    <w:next w:val="1"/>
    <w:autoRedefine/>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8">
    <w:name w:val="Title"/>
    <w:basedOn w:val="1"/>
    <w:next w:val="1"/>
    <w:autoRedefine/>
    <w:qFormat/>
    <w:uiPriority w:val="10"/>
    <w:pPr>
      <w:jc w:val="center"/>
      <w:outlineLvl w:val="0"/>
    </w:pPr>
    <w:rPr>
      <w:rFonts w:eastAsia="方正小标宋简体" w:cs="Times New Roman"/>
      <w:bCs/>
      <w:sz w:val="44"/>
      <w:szCs w:val="32"/>
    </w:rPr>
  </w:style>
  <w:style w:type="paragraph" w:styleId="19">
    <w:name w:val="Body Text First Indent 2"/>
    <w:basedOn w:val="7"/>
    <w:autoRedefine/>
    <w:qFormat/>
    <w:uiPriority w:val="99"/>
    <w:pPr>
      <w:ind w:firstLine="420" w:firstLineChars="2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page number"/>
    <w:basedOn w:val="22"/>
    <w:autoRedefine/>
    <w:qFormat/>
    <w:uiPriority w:val="0"/>
  </w:style>
  <w:style w:type="character" w:styleId="25">
    <w:name w:val="Hyperlink"/>
    <w:basedOn w:val="22"/>
    <w:autoRedefine/>
    <w:semiHidden/>
    <w:unhideWhenUsed/>
    <w:qFormat/>
    <w:uiPriority w:val="99"/>
    <w:rPr>
      <w:color w:val="0000FF"/>
      <w:u w:val="single"/>
    </w:rPr>
  </w:style>
  <w:style w:type="paragraph" w:customStyle="1" w:styleId="26">
    <w:name w:val="正文缩进1"/>
    <w:autoRedefine/>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27">
    <w:name w:val="列出段落1"/>
    <w:basedOn w:val="1"/>
    <w:autoRedefine/>
    <w:qFormat/>
    <w:uiPriority w:val="34"/>
    <w:pPr>
      <w:ind w:firstLine="420" w:firstLineChars="200"/>
    </w:pPr>
  </w:style>
  <w:style w:type="paragraph" w:customStyle="1" w:styleId="28">
    <w:name w:val="Body Text First Indent 21"/>
    <w:basedOn w:val="29"/>
    <w:autoRedefine/>
    <w:qFormat/>
    <w:uiPriority w:val="99"/>
    <w:pPr>
      <w:ind w:firstLine="420" w:firstLineChars="200"/>
    </w:pPr>
  </w:style>
  <w:style w:type="paragraph" w:customStyle="1" w:styleId="29">
    <w:name w:val="Body Text Indent1"/>
    <w:basedOn w:val="1"/>
    <w:autoRedefine/>
    <w:qFormat/>
    <w:uiPriority w:val="99"/>
    <w:pPr>
      <w:ind w:left="420" w:leftChars="200"/>
    </w:pPr>
  </w:style>
  <w:style w:type="paragraph" w:customStyle="1" w:styleId="30">
    <w:name w:val="NormalIndent"/>
    <w:basedOn w:val="1"/>
    <w:autoRedefine/>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1">
    <w:name w:val="0"/>
    <w:basedOn w:val="1"/>
    <w:autoRedefine/>
    <w:qFormat/>
    <w:uiPriority w:val="0"/>
    <w:pPr>
      <w:widowControl/>
      <w:snapToGrid w:val="0"/>
      <w:spacing w:line="365" w:lineRule="atLeast"/>
      <w:ind w:left="1"/>
      <w:textAlignment w:val="bottom"/>
    </w:pPr>
    <w:rPr>
      <w:kern w:val="0"/>
      <w:sz w:val="20"/>
      <w:szCs w:val="20"/>
    </w:rPr>
  </w:style>
  <w:style w:type="paragraph" w:styleId="32">
    <w:name w:val="List Paragraph"/>
    <w:basedOn w:val="1"/>
    <w:autoRedefine/>
    <w:qFormat/>
    <w:uiPriority w:val="34"/>
    <w:pPr>
      <w:ind w:firstLine="420" w:firstLineChars="200"/>
    </w:pPr>
  </w:style>
  <w:style w:type="character" w:customStyle="1" w:styleId="33">
    <w:name w:val="font61"/>
    <w:basedOn w:val="22"/>
    <w:autoRedefine/>
    <w:qFormat/>
    <w:uiPriority w:val="0"/>
    <w:rPr>
      <w:rFonts w:hint="eastAsia" w:ascii="黑体" w:hAnsi="宋体" w:eastAsia="黑体" w:cs="黑体"/>
      <w:color w:val="000000"/>
      <w:sz w:val="28"/>
      <w:szCs w:val="28"/>
      <w:u w:val="none"/>
    </w:rPr>
  </w:style>
  <w:style w:type="character" w:customStyle="1" w:styleId="34">
    <w:name w:val="font51"/>
    <w:basedOn w:val="22"/>
    <w:autoRedefine/>
    <w:qFormat/>
    <w:uiPriority w:val="0"/>
    <w:rPr>
      <w:rFonts w:hint="eastAsia" w:ascii="宋体" w:hAnsi="宋体" w:eastAsia="宋体" w:cs="宋体"/>
      <w:color w:val="000000"/>
      <w:sz w:val="28"/>
      <w:szCs w:val="28"/>
      <w:u w:val="none"/>
    </w:rPr>
  </w:style>
  <w:style w:type="character" w:customStyle="1" w:styleId="35">
    <w:name w:val="font21"/>
    <w:basedOn w:val="22"/>
    <w:autoRedefine/>
    <w:qFormat/>
    <w:uiPriority w:val="0"/>
    <w:rPr>
      <w:rFonts w:hint="eastAsia" w:ascii="宋体" w:hAnsi="宋体" w:eastAsia="宋体" w:cs="宋体"/>
      <w:color w:val="000000"/>
      <w:sz w:val="22"/>
      <w:szCs w:val="22"/>
      <w:u w:val="none"/>
    </w:rPr>
  </w:style>
  <w:style w:type="character" w:customStyle="1" w:styleId="36">
    <w:name w:val="font41"/>
    <w:basedOn w:val="22"/>
    <w:autoRedefine/>
    <w:qFormat/>
    <w:uiPriority w:val="0"/>
    <w:rPr>
      <w:rFonts w:hint="eastAsia" w:ascii="仿宋_GB2312" w:eastAsia="仿宋_GB2312" w:cs="仿宋_GB2312"/>
      <w:b/>
      <w:bCs/>
      <w:color w:val="000000"/>
      <w:sz w:val="24"/>
      <w:szCs w:val="24"/>
      <w:u w:val="none"/>
    </w:rPr>
  </w:style>
  <w:style w:type="character" w:customStyle="1" w:styleId="37">
    <w:name w:val="font11"/>
    <w:basedOn w:val="22"/>
    <w:autoRedefine/>
    <w:qFormat/>
    <w:uiPriority w:val="0"/>
    <w:rPr>
      <w:rFonts w:hint="eastAsia" w:ascii="黑体" w:hAnsi="宋体" w:eastAsia="黑体" w:cs="黑体"/>
      <w:color w:val="000000"/>
      <w:sz w:val="28"/>
      <w:szCs w:val="28"/>
      <w:u w:val="none"/>
    </w:rPr>
  </w:style>
  <w:style w:type="paragraph" w:customStyle="1" w:styleId="38">
    <w:name w:val="Table Paragraph"/>
    <w:basedOn w:val="1"/>
    <w:autoRedefine/>
    <w:qFormat/>
    <w:uiPriority w:val="1"/>
  </w:style>
  <w:style w:type="character" w:customStyle="1" w:styleId="39">
    <w:name w:val="NormalCharacter"/>
    <w:autoRedefine/>
    <w:qFormat/>
    <w:uiPriority w:val="0"/>
    <w:rPr>
      <w:kern w:val="2"/>
      <w:sz w:val="21"/>
      <w:szCs w:val="24"/>
      <w:lang w:val="en-US" w:eastAsia="zh-CN" w:bidi="ar-SA"/>
    </w:rPr>
  </w:style>
  <w:style w:type="table" w:customStyle="1" w:styleId="40">
    <w:name w:val="Table Normal"/>
    <w:autoRedefine/>
    <w:unhideWhenUsed/>
    <w:qFormat/>
    <w:uiPriority w:val="0"/>
    <w:tblPr>
      <w:tblCellMar>
        <w:top w:w="0" w:type="dxa"/>
        <w:left w:w="0" w:type="dxa"/>
        <w:bottom w:w="0" w:type="dxa"/>
        <w:right w:w="0" w:type="dxa"/>
      </w:tblCellMar>
    </w:tblPr>
  </w:style>
  <w:style w:type="paragraph" w:customStyle="1" w:styleId="41">
    <w:name w:val="Char Char Char Char Char Char Char Char Char Char Char Char Char Char Char Char Char Char Char Char Char Char Char Char Char Char Char Char Char Char Char Char Char"/>
    <w:basedOn w:val="1"/>
    <w:autoRedefine/>
    <w:qFormat/>
    <w:uiPriority w:val="0"/>
    <w:pPr>
      <w:widowControl/>
      <w:spacing w:before="100" w:beforeLines="0" w:beforeAutospacing="1" w:after="100" w:afterLines="0" w:afterAutospacing="1" w:line="240" w:lineRule="exact"/>
      <w:jc w:val="left"/>
    </w:pPr>
  </w:style>
  <w:style w:type="paragraph" w:customStyle="1" w:styleId="42">
    <w:name w:val="Char1"/>
    <w:basedOn w:val="1"/>
    <w:autoRedefine/>
    <w:qFormat/>
    <w:uiPriority w:val="0"/>
  </w:style>
  <w:style w:type="paragraph" w:customStyle="1" w:styleId="43">
    <w:name w:val="UserStyle_0"/>
    <w:basedOn w:val="1"/>
    <w:autoRedefine/>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4">
    <w:name w:val="我的正文"/>
    <w:basedOn w:val="1"/>
    <w:autoRedefine/>
    <w:qFormat/>
    <w:uiPriority w:val="0"/>
    <w:pPr>
      <w:spacing w:line="460" w:lineRule="exact"/>
      <w:ind w:firstLine="482"/>
    </w:pPr>
    <w:rPr>
      <w:rFonts w:ascii="Times New Roman" w:hAnsi="Times New Roman"/>
      <w:szCs w:val="24"/>
    </w:rPr>
  </w:style>
  <w:style w:type="paragraph" w:customStyle="1" w:styleId="45">
    <w:name w:val="表格"/>
    <w:basedOn w:val="1"/>
    <w:autoRedefine/>
    <w:qFormat/>
    <w:uiPriority w:val="0"/>
    <w:pPr>
      <w:spacing w:line="240" w:lineRule="atLeast"/>
    </w:pPr>
    <w:rPr>
      <w:sz w:val="18"/>
    </w:rPr>
  </w:style>
  <w:style w:type="paragraph" w:customStyle="1" w:styleId="46">
    <w:name w:val="正文黑体"/>
    <w:basedOn w:val="1"/>
    <w:autoRedefine/>
    <w:qFormat/>
    <w:uiPriority w:val="0"/>
    <w:rPr>
      <w:rFonts w:eastAsia="黑体"/>
    </w:rPr>
  </w:style>
  <w:style w:type="character" w:customStyle="1" w:styleId="47">
    <w:name w:val="标题 2 Char"/>
    <w:basedOn w:val="22"/>
    <w:link w:val="3"/>
    <w:autoRedefine/>
    <w:qFormat/>
    <w:uiPriority w:val="9"/>
    <w:rPr>
      <w:rFonts w:eastAsia="楷体" w:cs="Times New Roman"/>
      <w:bCs/>
      <w:szCs w:val="32"/>
    </w:rPr>
  </w:style>
  <w:style w:type="character" w:customStyle="1" w:styleId="48">
    <w:name w:val="标题 3 Char"/>
    <w:link w:val="4"/>
    <w:autoRedefine/>
    <w:qFormat/>
    <w:uiPriority w:val="0"/>
    <w:rPr>
      <w:b/>
      <w:sz w:val="32"/>
    </w:rPr>
  </w:style>
  <w:style w:type="paragraph" w:customStyle="1" w:styleId="49">
    <w:name w:val="样式 正文文本缩进 + 行距: 1.5 倍行距"/>
    <w:basedOn w:val="1"/>
    <w:qFormat/>
    <w:uiPriority w:val="0"/>
    <w:pPr>
      <w:spacing w:after="120" w:line="360" w:lineRule="auto"/>
      <w:ind w:left="90" w:leftChars="32" w:firstLine="560" w:firstLineChars="20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24870</Words>
  <Characters>25936</Characters>
  <Lines>0</Lines>
  <Paragraphs>0</Paragraphs>
  <TotalTime>5</TotalTime>
  <ScaleCrop>false</ScaleCrop>
  <LinksUpToDate>false</LinksUpToDate>
  <CharactersWithSpaces>26610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1232</cp:lastModifiedBy>
  <cp:lastPrinted>2022-07-11T08:05:00Z</cp:lastPrinted>
  <dcterms:modified xsi:type="dcterms:W3CDTF">2025-04-02T01:15:35Z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F0CC6B7FB44047E49B0187E38754DB0F_13</vt:lpwstr>
  </property>
  <property fmtid="{D5CDD505-2E9C-101B-9397-08002B2CF9AE}" pid="4" name="KSOTemplateDocerSaveRecord">
    <vt:lpwstr>eyJoZGlkIjoiOWZmMDQ1OGE0NTUxMGE3MGNjMDU3ZDY0ZDA2ZTEzMWEiLCJ1c2VySWQiOiIyNDU2MjcxODcifQ==</vt:lpwstr>
  </property>
</Properties>
</file>