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23"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21</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3</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decimal" w:start="0"/>
          <w:cols w:space="425" w:num="1"/>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decimal" w:start="1"/>
          <w:cols w:space="425" w:num="1"/>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tabs>
          <w:tab w:val="right" w:leader="middleDot" w:pos="8400"/>
        </w:tabs>
        <w:spacing w:line="520" w:lineRule="exact"/>
        <w:jc w:val="left"/>
        <w:rPr>
          <w:rFonts w:hint="eastAsia" w:ascii="黑体" w:hAnsi="黑体" w:eastAsia="黑体"/>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郯城县人民政府关于同意成立郯城城投砂石有限公司的批复（郯政字〔2021〕37号）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郯城县人民政府关于表扬2020年度政务公开工作先进集体和先进个人的决定（郯政字〔2021〕41号）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3</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郯城县人民政府关于表扬2020年度政务督查工作先进集体和先进个人的决定（郯政字〔2021〕42号）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7</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郯城县人民政府关于推进“市县同权”改革承接实施部分行政权力事项的通知（郯政字〔2021〕43号）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11</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郯城县人民政府关于成立郯城城投翔政置业有限公司的批复（郯政字〔2021〕44号）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28</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郯城县人民政府关于郯城县城市建设投资集团有限公司收购山东道合建材有限公司的批复（郯政字〔2021〕45号）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30</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郯城县人民政府关于公布郯城县第二批历史建筑保护名单的通知（郯政字〔2021〕46号）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32</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郯城县人民政府关于郯城县城市建设投资集团有限公司收购斯科瑞新材料科技（山东）股份有限公司的批复（郯政字〔2021〕47号）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35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郯城县人民政府关于补充完善全县2021年工作部署若干措施的通知（郯政字〔2021〕48号）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37</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郯城县人民政府关于成立郯城县交投建设发展集团有限公司的批复（郯政字〔2021〕50号）</w:t>
      </w:r>
      <w:r>
        <w:rPr>
          <w:rFonts w:hint="eastAsia" w:ascii="文星仿宋" w:hAnsi="Times New Roman" w:eastAsia="文星仿宋" w:cs="Times New Roman"/>
          <w:spacing w:val="-6"/>
          <w:sz w:val="24"/>
          <w:szCs w:val="24"/>
          <w:lang w:val="en-US" w:eastAsia="zh-CN"/>
        </w:rPr>
        <w:tab/>
      </w:r>
      <w:r>
        <w:rPr>
          <w:rFonts w:hint="default" w:ascii="文星仿宋" w:hAnsi="Times New Roman" w:eastAsia="文星仿宋" w:cs="Times New Roman"/>
          <w:spacing w:val="-6"/>
          <w:sz w:val="24"/>
          <w:szCs w:val="24"/>
          <w:lang w:val="en-US" w:eastAsia="zh-CN"/>
        </w:rPr>
        <w:t>54</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eastAsia" w:ascii="黑体" w:hAnsi="黑体" w:eastAsia="黑体"/>
          <w:sz w:val="24"/>
          <w:szCs w:val="24"/>
        </w:rPr>
      </w:pP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eastAsia" w:ascii="黑体" w:hAnsi="黑体" w:eastAsia="黑体"/>
          <w:sz w:val="24"/>
          <w:szCs w:val="24"/>
        </w:rPr>
      </w:pPr>
      <w:r>
        <w:rPr>
          <w:rFonts w:hint="eastAsia" w:ascii="黑体" w:hAnsi="黑体" w:eastAsia="黑体"/>
          <w:sz w:val="24"/>
          <w:szCs w:val="24"/>
        </w:rPr>
        <w:t>【县政府办公室文件】</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郯城县人民政府办公室关于印发《2021年郯城县高素质农民培育实施方案》的通知</w:t>
      </w:r>
      <w:r>
        <w:rPr>
          <w:rFonts w:hint="eastAsia" w:ascii="文星仿宋" w:hAnsi="Times New Roman" w:eastAsia="文星仿宋" w:cs="Times New Roman"/>
          <w:spacing w:val="-6"/>
          <w:sz w:val="24"/>
          <w:szCs w:val="24"/>
          <w:lang w:val="en-US" w:eastAsia="zh-CN"/>
        </w:rPr>
        <w:t>（郯政办字〔2021〕40号）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56</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郯城县人民政府办公室关于确定郯城县防范和处置非法集资工作机制牵头部门的通知（郯政办字〔2021〕41号）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65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郯城县人民政府办公室关于成立郯城县未成年人保护工作领导小组的通知（郯政办字〔2021〕44号）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67</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郯城县人民政府办公室关于印发《郯城县重点项目建设年度评价方案》的通知（郯政办发〔2021〕5号）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71</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郯城县人民政府办公室关于印发郯城县省级慢性病综合防控示范区建设复审方案的通知（郯政办字〔2021〕48号）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78</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郯城县人民政府办公室关于公布2020年度郯城县工业企业亩产效益评价结果的通知（郯政办字〔2021〕55号）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153</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郯城县人民政府办公室关于印发《关于进一步加强郯城县高标准农田建设项目管护工作的意见》的通知</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176</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郯城县人民政府办公室关于成立县“大棚房”问题专项清理整治行动“回头看”协调推进小组的通知</w:t>
      </w:r>
      <w:r>
        <w:rPr>
          <w:rFonts w:hint="eastAsia" w:ascii="文星仿宋" w:hAnsi="Times New Roman" w:eastAsia="文星仿宋" w:cs="Times New Roman"/>
          <w:spacing w:val="-6"/>
          <w:sz w:val="24"/>
          <w:szCs w:val="24"/>
          <w:lang w:val="en-US" w:eastAsia="zh-CN"/>
        </w:rPr>
        <w:t>（郯政办字〔</w:t>
      </w:r>
      <w:r>
        <w:rPr>
          <w:rFonts w:hint="default" w:ascii="文星仿宋" w:hAnsi="Times New Roman" w:eastAsia="文星仿宋" w:cs="Times New Roman"/>
          <w:spacing w:val="-6"/>
          <w:sz w:val="24"/>
          <w:szCs w:val="24"/>
          <w:lang w:val="en-US" w:eastAsia="zh-CN"/>
        </w:rPr>
        <w:t>2021</w:t>
      </w:r>
      <w:r>
        <w:rPr>
          <w:rFonts w:hint="eastAsia" w:ascii="文星仿宋" w:hAnsi="Times New Roman" w:eastAsia="文星仿宋" w:cs="Times New Roman"/>
          <w:spacing w:val="-6"/>
          <w:sz w:val="24"/>
          <w:szCs w:val="24"/>
          <w:lang w:val="en-US" w:eastAsia="zh-CN"/>
        </w:rPr>
        <w:t>〕53号）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184</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郯城县人民政府办公室关于印发《郯城县节约用水工作联席会议制度》的通知（郯政办字〔2021〕56号）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186</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郯城县人民政府办公室关于印发郯城县政务服务“双全双百”工程实施方案的通知（郯政办字〔2021〕50号）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192</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郯城县人民政府办公室关于同意建设临沂电子科技职业学院的通知</w:t>
      </w:r>
      <w:r>
        <w:rPr>
          <w:rFonts w:hint="eastAsia" w:ascii="文星仿宋" w:hAnsi="Times New Roman" w:eastAsia="文星仿宋" w:cs="Times New Roman"/>
          <w:spacing w:val="-6"/>
          <w:sz w:val="24"/>
          <w:szCs w:val="24"/>
          <w:lang w:val="en-US" w:eastAsia="zh-CN"/>
        </w:rPr>
        <w:t>（郯政办字〔2021〕57号）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223</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郯城县人民政府办公室关于印发《郯城县烟草制品零售点布局管理规定》的通知</w:t>
      </w:r>
      <w:r>
        <w:rPr>
          <w:rFonts w:hint="eastAsia" w:ascii="文星仿宋" w:hAnsi="Times New Roman" w:eastAsia="文星仿宋" w:cs="Times New Roman"/>
          <w:spacing w:val="-6"/>
          <w:sz w:val="24"/>
          <w:szCs w:val="24"/>
          <w:lang w:val="en-US" w:eastAsia="zh-CN"/>
        </w:rPr>
        <w:t>（</w:t>
      </w:r>
      <w:r>
        <w:rPr>
          <w:rFonts w:hint="default" w:ascii="文星仿宋" w:hAnsi="Times New Roman" w:eastAsia="文星仿宋" w:cs="Times New Roman"/>
          <w:spacing w:val="-6"/>
          <w:sz w:val="24"/>
          <w:szCs w:val="24"/>
          <w:lang w:val="en-US" w:eastAsia="zh-CN"/>
        </w:rPr>
        <w:t>郯政办字〔2021〕58号</w:t>
      </w:r>
      <w:r>
        <w:rPr>
          <w:rFonts w:hint="eastAsia" w:ascii="文星仿宋" w:hAnsi="Times New Roman" w:eastAsia="文星仿宋" w:cs="Times New Roman"/>
          <w:spacing w:val="-6"/>
          <w:sz w:val="24"/>
          <w:szCs w:val="24"/>
          <w:lang w:val="en-US" w:eastAsia="zh-CN"/>
        </w:rPr>
        <w:t>）</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225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lang w:val="en-US" w:eastAsia="zh-CN"/>
        </w:rPr>
        <w:t>郯城县人民政府办公室关于印发《</w:t>
      </w:r>
      <w:r>
        <w:rPr>
          <w:rFonts w:hint="default" w:ascii="文星仿宋" w:hAnsi="Times New Roman" w:eastAsia="文星仿宋" w:cs="Times New Roman"/>
          <w:spacing w:val="-6"/>
          <w:sz w:val="24"/>
          <w:szCs w:val="24"/>
          <w:lang w:val="en-US" w:eastAsia="zh-CN"/>
        </w:rPr>
        <w:t>郯城县深入开展坚决整治违规设置妨碍货车通行的道路限高限宽设施和检查卡点实施方案</w:t>
      </w:r>
      <w:r>
        <w:rPr>
          <w:rFonts w:hint="eastAsia" w:ascii="文星仿宋" w:hAnsi="Times New Roman" w:eastAsia="文星仿宋" w:cs="Times New Roman"/>
          <w:spacing w:val="-6"/>
          <w:sz w:val="24"/>
          <w:szCs w:val="24"/>
          <w:lang w:val="en-US" w:eastAsia="zh-CN"/>
        </w:rPr>
        <w:t>》的通知（郯政办字〔2021〕59号）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233</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郯城县人民政府办公室关于印发《郯城县集体经营性建设用地入市暂行办法》的通知</w:t>
      </w:r>
      <w:r>
        <w:rPr>
          <w:rFonts w:hint="eastAsia" w:ascii="文星仿宋" w:hAnsi="Times New Roman" w:eastAsia="文星仿宋" w:cs="Times New Roman"/>
          <w:spacing w:val="-6"/>
          <w:sz w:val="24"/>
          <w:szCs w:val="24"/>
          <w:lang w:val="en-US" w:eastAsia="zh-CN"/>
        </w:rPr>
        <w:t>（郯政办发〔2021〕6号）</w:t>
      </w:r>
      <w:r>
        <w:rPr>
          <w:rFonts w:hint="eastAsia" w:ascii="文星仿宋" w:hAnsi="Times New Roman" w:eastAsia="文星仿宋" w:cs="Times New Roman"/>
          <w:spacing w:val="-6"/>
          <w:sz w:val="24"/>
          <w:szCs w:val="24"/>
          <w:lang w:val="en-US" w:eastAsia="zh-CN"/>
        </w:rPr>
        <w:tab/>
      </w:r>
      <w:r>
        <w:rPr>
          <w:rFonts w:hint="eastAsia" w:ascii="文星仿宋" w:hAnsi="Times New Roman" w:eastAsia="文星仿宋" w:cs="Times New Roman"/>
          <w:spacing w:val="-6"/>
          <w:sz w:val="24"/>
          <w:szCs w:val="24"/>
          <w:lang w:val="en-US" w:eastAsia="zh-CN"/>
        </w:rPr>
        <w:t>252</w:t>
      </w:r>
    </w:p>
    <w:p>
      <w:pPr>
        <w:pStyle w:val="4"/>
      </w:pP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rPr>
        <w:sectPr>
          <w:footerReference r:id="rId6" w:type="default"/>
          <w:pgSz w:w="11906" w:h="16838"/>
          <w:pgMar w:top="1587" w:right="1587" w:bottom="1587"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郯政字〔2021〕37号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关于同意成立郯城城投砂石有限公司的</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批  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40"/>
          <w:lang w:val="en-US" w:eastAsia="zh-CN"/>
        </w:rPr>
      </w:pPr>
      <w:r>
        <w:rPr>
          <w:rFonts w:hint="eastAsia" w:ascii="仿宋_GB2312" w:hAnsi="仿宋_GB2312" w:eastAsia="仿宋_GB2312" w:cs="仿宋_GB2312"/>
          <w:kern w:val="0"/>
          <w:sz w:val="32"/>
          <w:szCs w:val="32"/>
          <w:shd w:val="clear" w:color="auto" w:fill="FFFFFF"/>
          <w:lang w:val="en-US" w:eastAsia="zh-CN" w:bidi="ar"/>
        </w:rPr>
        <w:t>县国有资产管理服务中心</w:t>
      </w:r>
      <w:r>
        <w:rPr>
          <w:rFonts w:hint="eastAsia" w:ascii="仿宋" w:hAnsi="仿宋" w:eastAsia="仿宋" w:cs="仿宋"/>
          <w:sz w:val="32"/>
          <w:szCs w:val="40"/>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你单位提出的《关于成立郯城城投砂石有限公司的请示》（郯国资〔2021〕42号）收悉，经研究，批复如下：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同意由郯城兴郯黄沙有限公司出资成立郯城城投砂石有限公司，注册资本10000万元，经营范围为河道采砂；水污染治理；矿产资源（非煤矿山）开采；金属矿石销售；建筑材料销售。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你单位要认真履行监管职责，督促该公司严格按照《公司法》等有关法律法规建立规章制度，完善法人治理结构，依法合规开展经营活动，切实防范风险。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特此批复！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shd w:val="clear" w:color="auto" w:fill="FFFFFF"/>
          <w:lang w:val="en-US" w:eastAsia="zh-CN" w:bidi="ar"/>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kern w:val="0"/>
          <w:sz w:val="32"/>
          <w:szCs w:val="32"/>
          <w:shd w:val="clear" w:color="auto" w:fill="FFFFFF"/>
          <w:lang w:val="en-US" w:eastAsia="zh-CN" w:bidi="ar"/>
        </w:rPr>
        <w:t xml:space="preserve">郯城县人民政府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val="en-US" w:eastAsia="zh-CN" w:bidi="ar"/>
        </w:rPr>
        <w:t xml:space="preserve">                                  2021年7月1日   </w:t>
      </w:r>
    </w:p>
    <w:p>
      <w:pPr>
        <w:pStyle w:val="9"/>
        <w:ind w:left="0" w:leftChars="0" w:firstLine="640" w:firstLineChars="200"/>
        <w:sectPr>
          <w:footerReference r:id="rId7" w:type="default"/>
          <w:pgSz w:w="11906" w:h="16838"/>
          <w:pgMar w:top="1587" w:right="1587" w:bottom="1587" w:left="1587" w:header="851" w:footer="992" w:gutter="0"/>
          <w:pgNumType w:fmt="decimal" w:start="1"/>
          <w:cols w:space="425" w:num="1"/>
          <w:docGrid w:type="lines" w:linePitch="312" w:charSpace="0"/>
        </w:sectPr>
      </w:pPr>
      <w:r>
        <w:rPr>
          <w:rFonts w:hint="eastAsia" w:ascii="仿宋_GB2312" w:hAnsi="仿宋_GB2312" w:eastAsia="仿宋_GB2312" w:cs="仿宋_GB2312"/>
          <w:sz w:val="32"/>
          <w:szCs w:val="32"/>
          <w:lang w:val="en-US" w:eastAsia="zh-CN"/>
        </w:rPr>
        <w:t>(此件公开发布）</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郯政字〔20</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41</w:t>
      </w:r>
      <w:r>
        <w:rPr>
          <w:rFonts w:hint="eastAsia" w:ascii="仿宋_GB2312" w:hAnsi="仿宋_GB2312" w:eastAsia="仿宋_GB2312" w:cs="仿宋_GB2312"/>
          <w:kern w:val="0"/>
          <w:sz w:val="32"/>
          <w:szCs w:val="32"/>
        </w:rPr>
        <w:t>号</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eastAsia="zh-CN"/>
        </w:rPr>
        <w:t>表扬</w:t>
      </w:r>
      <w:r>
        <w:rPr>
          <w:rFonts w:hint="eastAsia" w:ascii="方正小标宋简体" w:hAnsi="方正小标宋简体" w:eastAsia="方正小标宋简体" w:cs="方正小标宋简体"/>
          <w:sz w:val="44"/>
          <w:szCs w:val="44"/>
        </w:rPr>
        <w:t>20</w:t>
      </w:r>
      <w:r>
        <w:rPr>
          <w:rFonts w:hint="eastAsia" w:ascii="方正小标宋简体" w:hAnsi="方正小标宋简体" w:eastAsia="方正小标宋简体" w:cs="方正小标宋简体"/>
          <w:sz w:val="44"/>
          <w:szCs w:val="44"/>
          <w:lang w:val="en-US" w:eastAsia="zh-CN"/>
        </w:rPr>
        <w:t>20</w:t>
      </w:r>
      <w:r>
        <w:rPr>
          <w:rFonts w:hint="eastAsia" w:ascii="方正小标宋简体" w:hAnsi="方正小标宋简体" w:eastAsia="方正小标宋简体" w:cs="方正小标宋简体"/>
          <w:sz w:val="44"/>
          <w:szCs w:val="44"/>
        </w:rPr>
        <w:t>年度政务公开工作先进集体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和先进个人的决定</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9"/>
        <w:rPr>
          <w:rFonts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2020年，郯城县各级各部门认真落实中央、省、市关于政务公开工作的决策部署，聚焦阳光政务、推进用权公开，加强政策解读、主动回应关切，以更高质量公开助力县域治理体系和治理能力现代化，为实现全县经济社会发展目标任务提供了有力支撑。</w:t>
      </w:r>
      <w:r>
        <w:rPr>
          <w:rFonts w:hint="eastAsia" w:ascii="仿宋_GB2312" w:hAnsi="仿宋_GB2312" w:eastAsia="仿宋_GB2312" w:cs="仿宋_GB2312"/>
          <w:kern w:val="0"/>
          <w:sz w:val="32"/>
          <w:szCs w:val="32"/>
        </w:rPr>
        <w:t>为</w:t>
      </w:r>
      <w:r>
        <w:rPr>
          <w:rFonts w:hint="eastAsia" w:ascii="仿宋_GB2312" w:hAnsi="仿宋_GB2312" w:eastAsia="仿宋_GB2312" w:cs="仿宋_GB2312"/>
          <w:kern w:val="0"/>
          <w:sz w:val="32"/>
          <w:szCs w:val="32"/>
          <w:lang w:eastAsia="zh-CN"/>
        </w:rPr>
        <w:t>表扬</w:t>
      </w:r>
      <w:r>
        <w:rPr>
          <w:rFonts w:hint="eastAsia" w:ascii="仿宋_GB2312" w:hAnsi="仿宋_GB2312" w:eastAsia="仿宋_GB2312" w:cs="仿宋_GB2312"/>
          <w:kern w:val="0"/>
          <w:sz w:val="32"/>
          <w:szCs w:val="32"/>
        </w:rPr>
        <w:t>先进，决定授予</w:t>
      </w:r>
      <w:r>
        <w:rPr>
          <w:rFonts w:hint="eastAsia" w:ascii="仿宋_GB2312" w:hAnsi="仿宋_GB2312" w:eastAsia="仿宋_GB2312" w:cs="仿宋_GB2312"/>
          <w:kern w:val="0"/>
          <w:sz w:val="32"/>
          <w:szCs w:val="32"/>
          <w:lang w:eastAsia="zh-CN"/>
        </w:rPr>
        <w:t>郯城街道、</w:t>
      </w:r>
      <w:r>
        <w:rPr>
          <w:rFonts w:hint="eastAsia" w:ascii="仿宋_GB2312" w:hAnsi="仿宋_GB2312" w:eastAsia="仿宋_GB2312" w:cs="仿宋_GB2312"/>
          <w:kern w:val="0"/>
          <w:sz w:val="32"/>
          <w:szCs w:val="32"/>
          <w:lang w:val="en-US" w:eastAsia="zh-CN"/>
        </w:rPr>
        <w:t>县综合行政执法</w:t>
      </w:r>
      <w:r>
        <w:rPr>
          <w:rFonts w:hint="eastAsia" w:ascii="仿宋_GB2312" w:hAnsi="仿宋_GB2312" w:eastAsia="仿宋_GB2312" w:cs="仿宋_GB2312"/>
          <w:kern w:val="0"/>
          <w:sz w:val="32"/>
          <w:szCs w:val="32"/>
        </w:rPr>
        <w:t>局等</w:t>
      </w:r>
      <w:r>
        <w:rPr>
          <w:rFonts w:hint="eastAsia" w:ascii="仿宋_GB2312" w:hAnsi="仿宋_GB2312" w:eastAsia="仿宋_GB2312" w:cs="仿宋_GB2312"/>
          <w:kern w:val="0"/>
          <w:sz w:val="32"/>
          <w:szCs w:val="32"/>
          <w:lang w:val="en-US" w:eastAsia="zh-CN"/>
        </w:rPr>
        <w:t>15</w:t>
      </w:r>
      <w:r>
        <w:rPr>
          <w:rFonts w:hint="eastAsia" w:ascii="仿宋_GB2312" w:hAnsi="仿宋_GB2312" w:eastAsia="仿宋_GB2312" w:cs="仿宋_GB2312"/>
          <w:kern w:val="0"/>
          <w:sz w:val="32"/>
          <w:szCs w:val="32"/>
        </w:rPr>
        <w:t>个单位20</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年度政务公开工作先进</w:t>
      </w:r>
      <w:r>
        <w:rPr>
          <w:rFonts w:hint="eastAsia" w:ascii="仿宋_GB2312" w:hAnsi="仿宋_GB2312" w:eastAsia="仿宋_GB2312" w:cs="仿宋_GB2312"/>
          <w:kern w:val="0"/>
          <w:sz w:val="32"/>
          <w:szCs w:val="32"/>
          <w:lang w:val="en-US" w:eastAsia="zh-CN"/>
        </w:rPr>
        <w:t>集体</w:t>
      </w:r>
      <w:r>
        <w:rPr>
          <w:rFonts w:hint="eastAsia" w:ascii="仿宋_GB2312" w:hAnsi="仿宋_GB2312" w:eastAsia="仿宋_GB2312" w:cs="仿宋_GB2312"/>
          <w:kern w:val="0"/>
          <w:sz w:val="32"/>
          <w:szCs w:val="32"/>
        </w:rPr>
        <w:t>称号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授予</w:t>
      </w:r>
      <w:r>
        <w:rPr>
          <w:rFonts w:hint="eastAsia" w:ascii="仿宋_GB2312" w:hAnsi="仿宋_GB2312" w:eastAsia="仿宋_GB2312" w:cs="仿宋_GB2312"/>
          <w:kern w:val="0"/>
          <w:sz w:val="32"/>
          <w:szCs w:val="32"/>
          <w:lang w:val="en-US" w:eastAsia="zh-CN"/>
        </w:rPr>
        <w:t>吴迪等68</w:t>
      </w:r>
      <w:r>
        <w:rPr>
          <w:rFonts w:hint="eastAsia" w:ascii="仿宋_GB2312" w:hAnsi="仿宋_GB2312" w:eastAsia="仿宋_GB2312" w:cs="仿宋_GB2312"/>
          <w:kern w:val="0"/>
          <w:sz w:val="32"/>
          <w:szCs w:val="32"/>
        </w:rPr>
        <w:t>名同志20</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年度政务公开工作先进个人称号。</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希望受</w:t>
      </w:r>
      <w:r>
        <w:rPr>
          <w:rFonts w:hint="eastAsia" w:ascii="仿宋_GB2312" w:hAnsi="仿宋_GB2312" w:eastAsia="仿宋_GB2312" w:cs="仿宋_GB2312"/>
          <w:kern w:val="0"/>
          <w:sz w:val="32"/>
          <w:szCs w:val="32"/>
          <w:lang w:eastAsia="zh-CN"/>
        </w:rPr>
        <w:t>表扬</w:t>
      </w:r>
      <w:r>
        <w:rPr>
          <w:rFonts w:hint="eastAsia" w:ascii="仿宋_GB2312" w:hAnsi="仿宋_GB2312" w:eastAsia="仿宋_GB2312" w:cs="仿宋_GB2312"/>
          <w:kern w:val="0"/>
          <w:sz w:val="32"/>
          <w:szCs w:val="32"/>
        </w:rPr>
        <w:t>的先进集体和先进个人</w:t>
      </w:r>
      <w:r>
        <w:rPr>
          <w:rFonts w:hint="eastAsia" w:ascii="仿宋_GB2312" w:hAnsi="仿宋_GB2312" w:eastAsia="仿宋_GB2312" w:cs="仿宋_GB2312"/>
          <w:spacing w:val="3"/>
          <w:sz w:val="32"/>
          <w:szCs w:val="32"/>
        </w:rPr>
        <w:t>发扬成绩，自我加压，</w:t>
      </w:r>
      <w:r>
        <w:rPr>
          <w:rFonts w:hint="eastAsia" w:ascii="仿宋_GB2312" w:hAnsi="仿宋_GB2312" w:eastAsia="仿宋_GB2312" w:cs="仿宋_GB2312"/>
          <w:kern w:val="0"/>
          <w:sz w:val="32"/>
          <w:szCs w:val="32"/>
        </w:rPr>
        <w:t>再创佳绩。全县各级各部门要以先进为榜样，进一步提升政务公开工作水平，为</w:t>
      </w:r>
      <w:r>
        <w:rPr>
          <w:rFonts w:hint="eastAsia" w:ascii="仿宋_GB2312" w:hAnsi="仿宋_GB2312" w:eastAsia="仿宋_GB2312" w:cs="仿宋_GB2312"/>
          <w:kern w:val="0"/>
          <w:sz w:val="32"/>
          <w:szCs w:val="32"/>
          <w:lang w:val="en-US" w:eastAsia="zh-CN"/>
        </w:rPr>
        <w:t>推动郯城“十四五”时期高质量发展</w:t>
      </w:r>
      <w:r>
        <w:rPr>
          <w:rFonts w:hint="eastAsia" w:ascii="仿宋_GB2312" w:hAnsi="仿宋_GB2312" w:eastAsia="仿宋_GB2312" w:cs="仿宋_GB2312"/>
          <w:kern w:val="0"/>
          <w:sz w:val="32"/>
          <w:szCs w:val="32"/>
        </w:rPr>
        <w:t>作出</w:t>
      </w:r>
      <w:r>
        <w:rPr>
          <w:rFonts w:hint="eastAsia" w:ascii="仿宋_GB2312" w:hAnsi="仿宋_GB2312" w:eastAsia="仿宋_GB2312" w:cs="仿宋_GB2312"/>
          <w:kern w:val="0"/>
          <w:sz w:val="32"/>
          <w:szCs w:val="32"/>
          <w:lang w:eastAsia="zh-CN"/>
        </w:rPr>
        <w:t>新的</w:t>
      </w:r>
      <w:r>
        <w:rPr>
          <w:rFonts w:hint="eastAsia" w:ascii="仿宋_GB2312" w:hAnsi="仿宋_GB2312" w:eastAsia="仿宋_GB2312" w:cs="仿宋_GB2312"/>
          <w:kern w:val="0"/>
          <w:sz w:val="32"/>
          <w:szCs w:val="32"/>
        </w:rPr>
        <w:t>更大贡献。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kern w:val="0"/>
          <w:sz w:val="32"/>
          <w:szCs w:val="32"/>
        </w:rPr>
        <w:t>附</w:t>
      </w:r>
      <w:r>
        <w:rPr>
          <w:rFonts w:hint="eastAsia" w:ascii="仿宋_GB2312" w:hAnsi="仿宋_GB2312" w:eastAsia="仿宋_GB2312" w:cs="仿宋_GB2312"/>
          <w:kern w:val="0"/>
          <w:sz w:val="32"/>
          <w:szCs w:val="32"/>
          <w:lang w:eastAsia="zh-CN"/>
        </w:rPr>
        <w:t>件</w:t>
      </w:r>
      <w:r>
        <w:rPr>
          <w:rFonts w:hint="eastAsia" w:ascii="仿宋_GB2312" w:hAnsi="仿宋_GB2312" w:eastAsia="仿宋_GB2312" w:cs="仿宋_GB2312"/>
          <w:kern w:val="0"/>
          <w:sz w:val="32"/>
          <w:szCs w:val="32"/>
        </w:rPr>
        <w:t>：</w:t>
      </w:r>
      <w:r>
        <w:rPr>
          <w:rFonts w:hint="eastAsia" w:ascii="仿宋_GB2312" w:hAnsi="仿宋_GB2312" w:eastAsia="仿宋_GB2312" w:cs="仿宋_GB2312"/>
          <w:spacing w:val="0"/>
          <w:kern w:val="0"/>
          <w:sz w:val="32"/>
          <w:szCs w:val="32"/>
        </w:rPr>
        <w:t>郯城县20</w:t>
      </w:r>
      <w:r>
        <w:rPr>
          <w:rFonts w:hint="eastAsia" w:ascii="仿宋_GB2312" w:hAnsi="仿宋_GB2312" w:eastAsia="仿宋_GB2312" w:cs="仿宋_GB2312"/>
          <w:spacing w:val="0"/>
          <w:kern w:val="0"/>
          <w:sz w:val="32"/>
          <w:szCs w:val="32"/>
          <w:lang w:val="en-US" w:eastAsia="zh-CN"/>
        </w:rPr>
        <w:t>20</w:t>
      </w:r>
      <w:r>
        <w:rPr>
          <w:rFonts w:hint="eastAsia" w:ascii="仿宋_GB2312" w:hAnsi="仿宋_GB2312" w:eastAsia="仿宋_GB2312" w:cs="仿宋_GB2312"/>
          <w:spacing w:val="0"/>
          <w:kern w:val="0"/>
          <w:sz w:val="32"/>
          <w:szCs w:val="32"/>
        </w:rPr>
        <w:t>年度政务公开工作先进集体和先进个人名单</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480" w:firstLine="5760" w:firstLineChars="1800"/>
        <w:jc w:val="both"/>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郯城县人民政府    </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jc w:val="both"/>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8</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600" w:lineRule="exact"/>
        <w:ind w:left="0" w:leftChars="0"/>
        <w:jc w:val="left"/>
        <w:textAlignment w:val="auto"/>
        <w:outlineLvl w:val="9"/>
        <w:rPr>
          <w:rFonts w:hint="default" w:ascii="文星仿宋" w:hAnsi="文星仿宋" w:eastAsia="文星仿宋" w:cs="文星仿宋"/>
          <w:kern w:val="0"/>
          <w:sz w:val="32"/>
          <w:szCs w:val="32"/>
          <w:lang w:val="en-US" w:eastAsia="zh-CN"/>
        </w:rPr>
      </w:pPr>
      <w:r>
        <w:rPr>
          <w:rFonts w:hint="eastAsia" w:ascii="文星仿宋" w:hAnsi="文星仿宋" w:eastAsia="文星仿宋" w:cs="文星仿宋"/>
          <w:kern w:val="0"/>
          <w:sz w:val="32"/>
          <w:szCs w:val="32"/>
          <w:lang w:val="en-US" w:eastAsia="zh-CN"/>
        </w:rPr>
        <w:t xml:space="preserve">    </w:t>
      </w:r>
      <w:r>
        <w:rPr>
          <w:rFonts w:hint="eastAsia" w:ascii="仿宋_GB2312" w:hAnsi="仿宋_GB2312" w:eastAsia="仿宋_GB2312" w:cs="仿宋_GB2312"/>
          <w:kern w:val="0"/>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附</w:t>
      </w:r>
      <w:r>
        <w:rPr>
          <w:rFonts w:hint="eastAsia" w:ascii="黑体" w:hAnsi="黑体" w:eastAsia="黑体" w:cs="黑体"/>
          <w:kern w:val="0"/>
          <w:sz w:val="32"/>
          <w:szCs w:val="32"/>
          <w:lang w:eastAsia="zh-CN"/>
        </w:rPr>
        <w:t>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郯城县20</w:t>
      </w:r>
      <w:r>
        <w:rPr>
          <w:rFonts w:hint="eastAsia" w:ascii="方正小标宋简体" w:hAnsi="方正小标宋简体" w:eastAsia="方正小标宋简体" w:cs="方正小标宋简体"/>
          <w:kern w:val="0"/>
          <w:sz w:val="44"/>
          <w:szCs w:val="44"/>
          <w:lang w:val="en-US" w:eastAsia="zh-CN"/>
        </w:rPr>
        <w:t>20</w:t>
      </w:r>
      <w:r>
        <w:rPr>
          <w:rFonts w:hint="eastAsia" w:ascii="方正小标宋简体" w:hAnsi="方正小标宋简体" w:eastAsia="方正小标宋简体" w:cs="方正小标宋简体"/>
          <w:kern w:val="0"/>
          <w:sz w:val="44"/>
          <w:szCs w:val="44"/>
        </w:rPr>
        <w:t>年度政务公开工作先进集体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和先进个人名单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方正小标宋简体" w:hAnsi="方正小标宋简体" w:eastAsia="方正小标宋简体" w:cs="方正小标宋简体"/>
          <w:kern w:val="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先进</w:t>
      </w:r>
      <w:r>
        <w:rPr>
          <w:rFonts w:hint="eastAsia" w:ascii="黑体" w:hAnsi="黑体" w:eastAsia="黑体" w:cs="黑体"/>
          <w:kern w:val="0"/>
          <w:sz w:val="32"/>
          <w:szCs w:val="32"/>
          <w:lang w:val="en-US" w:eastAsia="zh-CN"/>
        </w:rPr>
        <w:t>集体</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eastAsia" w:ascii="楷体_GB2312" w:hAnsi="楷体_GB2312" w:eastAsia="楷体_GB2312" w:cs="楷体_GB2312"/>
          <w:b w:val="0"/>
          <w:bCs w:val="0"/>
          <w:kern w:val="0"/>
          <w:sz w:val="32"/>
          <w:szCs w:val="32"/>
          <w:lang w:eastAsia="zh-CN"/>
        </w:rPr>
      </w:pPr>
      <w:r>
        <w:rPr>
          <w:rFonts w:hint="eastAsia" w:ascii="楷体_GB2312" w:hAnsi="楷体_GB2312" w:eastAsia="楷体_GB2312" w:cs="楷体_GB2312"/>
          <w:b w:val="0"/>
          <w:bCs w:val="0"/>
          <w:kern w:val="0"/>
          <w:sz w:val="32"/>
          <w:szCs w:val="32"/>
          <w:lang w:val="en-US" w:eastAsia="zh-CN"/>
        </w:rPr>
        <w:t>1.</w:t>
      </w:r>
      <w:r>
        <w:rPr>
          <w:rFonts w:hint="eastAsia" w:ascii="楷体_GB2312" w:hAnsi="楷体_GB2312" w:eastAsia="楷体_GB2312" w:cs="楷体_GB2312"/>
          <w:b w:val="0"/>
          <w:bCs w:val="0"/>
          <w:kern w:val="0"/>
          <w:sz w:val="32"/>
          <w:szCs w:val="32"/>
          <w:lang w:eastAsia="zh-CN"/>
        </w:rPr>
        <w:t>乡镇（街道）</w:t>
      </w:r>
    </w:p>
    <w:p>
      <w:pPr>
        <w:keepNext w:val="0"/>
        <w:keepLines w:val="0"/>
        <w:pageBreakBefore w:val="0"/>
        <w:widowControl w:val="0"/>
        <w:kinsoku/>
        <w:wordWrap/>
        <w:overflowPunct/>
        <w:topLinePunct w:val="0"/>
        <w:autoSpaceDE/>
        <w:autoSpaceDN/>
        <w:bidi w:val="0"/>
        <w:adjustRightInd/>
        <w:snapToGrid/>
        <w:spacing w:line="600" w:lineRule="exact"/>
        <w:ind w:left="638" w:leftChars="304" w:right="0" w:rightChars="0" w:firstLine="0" w:firstLineChars="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郯城街道办事处  马头镇政府  杨集镇政府  港上镇政府  泉源镇政府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hint="default" w:ascii="楷体_GB2312" w:hAnsi="楷体_GB2312" w:eastAsia="楷体_GB2312" w:cs="楷体_GB2312"/>
          <w:b w:val="0"/>
          <w:bCs w:val="0"/>
          <w:kern w:val="0"/>
          <w:sz w:val="32"/>
          <w:szCs w:val="32"/>
          <w:lang w:val="en-US" w:eastAsia="zh-CN"/>
        </w:rPr>
      </w:pPr>
      <w:r>
        <w:rPr>
          <w:rFonts w:hint="eastAsia" w:ascii="楷体_GB2312" w:hAnsi="楷体_GB2312" w:eastAsia="楷体_GB2312" w:cs="楷体_GB2312"/>
          <w:b w:val="0"/>
          <w:bCs w:val="0"/>
          <w:kern w:val="0"/>
          <w:sz w:val="32"/>
          <w:szCs w:val="32"/>
          <w:lang w:val="en-US" w:eastAsia="zh-CN"/>
        </w:rPr>
        <w:t>2.部门单位</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县综合行政执法局  市生态环境局郯城县分局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县市场监督管理局  县行政审批服务局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县农业机械发展促进中心  县发展和改革局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县自然资源和规划局  马陵山景区管委会  县卫生健康局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县教育和体育局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lang w:val="en-US" w:eastAsia="zh-CN"/>
        </w:rPr>
        <w:t>二、</w:t>
      </w:r>
      <w:r>
        <w:rPr>
          <w:rFonts w:hint="eastAsia" w:ascii="黑体" w:hAnsi="黑体" w:eastAsia="黑体" w:cs="黑体"/>
          <w:kern w:val="0"/>
          <w:sz w:val="32"/>
          <w:szCs w:val="32"/>
        </w:rPr>
        <w:t>先进个人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吴  迪  包青正  胡兆健  兰云飞  李  艳  李广睿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kern w:val="0"/>
          <w:sz w:val="32"/>
          <w:szCs w:val="32"/>
          <w:lang w:val="en-US" w:eastAsia="zh-CN"/>
        </w:rPr>
        <w:t xml:space="preserve">田彬彬  刘  宁  </w:t>
      </w:r>
      <w:r>
        <w:rPr>
          <w:rFonts w:hint="eastAsia" w:ascii="仿宋_GB2312" w:hAnsi="仿宋_GB2312" w:eastAsia="仿宋_GB2312" w:cs="仿宋_GB2312"/>
          <w:sz w:val="32"/>
          <w:szCs w:val="40"/>
          <w:lang w:val="en-US" w:eastAsia="zh-CN"/>
        </w:rPr>
        <w:t>张之钧  陈  琪  李海波  吴永青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王  鑫  蔺雪慧  杨有娟  刘青青  张  霞  张文琦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邹斯敏  廖云芳  管明伟  陈晓娇  </w:t>
      </w:r>
      <w:r>
        <w:rPr>
          <w:rFonts w:hint="default" w:ascii="仿宋_GB2312" w:hAnsi="仿宋_GB2312" w:eastAsia="仿宋_GB2312" w:cs="仿宋_GB2312"/>
          <w:sz w:val="32"/>
          <w:szCs w:val="40"/>
          <w:lang w:val="en-US" w:eastAsia="zh-CN"/>
        </w:rPr>
        <w:t>张  翠  张  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b w:val="0"/>
          <w:bCs w:val="0"/>
          <w:sz w:val="32"/>
          <w:szCs w:val="40"/>
          <w:lang w:val="en-US" w:eastAsia="zh-CN"/>
        </w:rPr>
      </w:pPr>
      <w:r>
        <w:rPr>
          <w:rFonts w:hint="default" w:ascii="仿宋_GB2312" w:hAnsi="仿宋_GB2312" w:eastAsia="仿宋_GB2312" w:cs="仿宋_GB2312"/>
          <w:sz w:val="32"/>
          <w:szCs w:val="40"/>
          <w:lang w:val="en-US" w:eastAsia="zh-CN"/>
        </w:rPr>
        <w:t>李延春  窦  璇  吕梦超</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b w:val="0"/>
          <w:bCs w:val="0"/>
          <w:sz w:val="32"/>
          <w:szCs w:val="40"/>
          <w:lang w:val="en-US" w:eastAsia="zh-CN"/>
        </w:rPr>
        <w:t>李  涛  平林林  齐金香</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徐淑琴  李新迎  孙  琦  朱  丽  窦锦铭  孙文秀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val="0"/>
          <w:bCs w:val="0"/>
          <w:sz w:val="32"/>
          <w:szCs w:val="40"/>
          <w:lang w:val="en-US" w:eastAsia="zh-CN"/>
        </w:rPr>
        <w:t xml:space="preserve">主翔磊  </w:t>
      </w:r>
      <w:r>
        <w:rPr>
          <w:rFonts w:hint="eastAsia" w:ascii="仿宋_GB2312" w:hAnsi="仿宋_GB2312" w:eastAsia="仿宋_GB2312" w:cs="仿宋_GB2312"/>
          <w:sz w:val="32"/>
          <w:szCs w:val="40"/>
          <w:lang w:val="en-US" w:eastAsia="zh-CN"/>
        </w:rPr>
        <w:t>叶志政  朱新宇  张  姝  袁以平  郭建超</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刘潇雅  侯吉峰  </w:t>
      </w:r>
      <w:r>
        <w:rPr>
          <w:rFonts w:hint="default" w:ascii="仿宋_GB2312" w:hAnsi="仿宋_GB2312" w:eastAsia="仿宋_GB2312" w:cs="仿宋_GB2312"/>
          <w:sz w:val="32"/>
          <w:szCs w:val="40"/>
          <w:lang w:val="en-US" w:eastAsia="zh-CN"/>
        </w:rPr>
        <w:t xml:space="preserve">王炜帅  冯英卓  </w:t>
      </w:r>
      <w:r>
        <w:rPr>
          <w:rFonts w:hint="eastAsia" w:ascii="仿宋_GB2312" w:hAnsi="仿宋_GB2312" w:eastAsia="仿宋_GB2312" w:cs="仿宋_GB2312"/>
          <w:sz w:val="32"/>
          <w:szCs w:val="40"/>
          <w:lang w:val="en-US" w:eastAsia="zh-CN"/>
        </w:rPr>
        <w:t xml:space="preserve">赵  琳  </w:t>
      </w:r>
      <w:r>
        <w:rPr>
          <w:rFonts w:hint="default" w:ascii="仿宋_GB2312" w:hAnsi="仿宋_GB2312" w:eastAsia="仿宋_GB2312" w:cs="仿宋_GB2312"/>
          <w:sz w:val="32"/>
          <w:szCs w:val="40"/>
          <w:lang w:val="en-US" w:eastAsia="zh-CN"/>
        </w:rPr>
        <w:t>王明深</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李  玲  徐勤虎  袁俊鹏  刘</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鹏  王</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宇  禚永利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xml:space="preserve">管继辉  赵佳林  王景荣  </w:t>
      </w:r>
      <w:r>
        <w:rPr>
          <w:rFonts w:hint="eastAsia" w:ascii="仿宋_GB2312" w:hAnsi="仿宋_GB2312" w:eastAsia="仿宋_GB2312" w:cs="仿宋_GB2312"/>
          <w:sz w:val="32"/>
          <w:szCs w:val="40"/>
          <w:lang w:val="en-US" w:eastAsia="zh-CN"/>
        </w:rPr>
        <w:t xml:space="preserve">吴清海  </w:t>
      </w:r>
      <w:r>
        <w:rPr>
          <w:rFonts w:hint="default" w:ascii="仿宋_GB2312" w:hAnsi="仿宋_GB2312" w:eastAsia="仿宋_GB2312" w:cs="仿宋_GB2312"/>
          <w:sz w:val="32"/>
          <w:szCs w:val="40"/>
          <w:lang w:val="en-US" w:eastAsia="zh-CN"/>
        </w:rPr>
        <w:t>刘</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勇</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孙鲁新</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xml:space="preserve">顾廷森 </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郑</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伟</w:t>
      </w:r>
      <w:r>
        <w:rPr>
          <w:rFonts w:hint="eastAsia" w:ascii="仿宋_GB2312" w:hAnsi="仿宋_GB2312" w:eastAsia="仿宋_GB2312" w:cs="仿宋_GB2312"/>
          <w:sz w:val="32"/>
          <w:szCs w:val="40"/>
          <w:lang w:val="en-US" w:eastAsia="zh-CN"/>
        </w:rPr>
        <w:t xml:space="preserve">  </w:t>
      </w:r>
      <w:r>
        <w:rPr>
          <w:rFonts w:hint="default" w:ascii="仿宋_GB2312" w:hAnsi="仿宋_GB2312" w:eastAsia="仿宋_GB2312" w:cs="仿宋_GB2312"/>
          <w:sz w:val="32"/>
          <w:szCs w:val="40"/>
          <w:lang w:val="en-US" w:eastAsia="zh-CN"/>
        </w:rPr>
        <w:t>王群峰</w:t>
      </w:r>
      <w:r>
        <w:rPr>
          <w:rFonts w:hint="eastAsia" w:ascii="仿宋_GB2312" w:hAnsi="仿宋_GB2312" w:eastAsia="仿宋_GB2312" w:cs="仿宋_GB2312"/>
          <w:sz w:val="32"/>
          <w:szCs w:val="40"/>
          <w:lang w:val="en-US" w:eastAsia="zh-CN"/>
        </w:rPr>
        <w:t xml:space="preserve">  张海涛  高千惠  刘  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顾育宁  李金洋</w:t>
      </w:r>
    </w:p>
    <w:p>
      <w:pPr>
        <w:spacing w:line="540" w:lineRule="exact"/>
        <w:rPr>
          <w:rFonts w:hint="eastAsia" w:ascii="文星标宋" w:hAnsi="Calibri" w:eastAsia="文星标宋" w:cs="宋体"/>
          <w:kern w:val="0"/>
          <w:sz w:val="44"/>
          <w:szCs w:val="44"/>
        </w:rPr>
        <w:sectPr>
          <w:footerReference r:id="rId8" w:type="default"/>
          <w:footerReference r:id="rId9" w:type="even"/>
          <w:pgSz w:w="11906" w:h="16838"/>
          <w:pgMar w:top="1797" w:right="1440" w:bottom="1797" w:left="1440" w:header="851" w:footer="992" w:gutter="0"/>
          <w:pgNumType w:fmt="decimal"/>
          <w:cols w:space="720" w:num="1"/>
          <w:docGrid w:type="lines" w:linePitch="634" w:charSpace="0"/>
        </w:sect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郯政字〔20</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42</w:t>
      </w:r>
      <w:r>
        <w:rPr>
          <w:rFonts w:hint="eastAsia" w:ascii="仿宋_GB2312" w:hAnsi="仿宋_GB2312" w:eastAsia="仿宋_GB2312" w:cs="仿宋_GB2312"/>
          <w:kern w:val="0"/>
          <w:sz w:val="32"/>
          <w:szCs w:val="32"/>
        </w:rPr>
        <w:t>号</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eastAsia="zh-CN"/>
        </w:rPr>
        <w:t>表扬</w:t>
      </w:r>
      <w:r>
        <w:rPr>
          <w:rFonts w:hint="eastAsia" w:ascii="方正小标宋简体" w:hAnsi="方正小标宋简体" w:eastAsia="方正小标宋简体" w:cs="方正小标宋简体"/>
          <w:sz w:val="44"/>
          <w:szCs w:val="44"/>
          <w:lang w:val="en-US" w:eastAsia="zh-CN"/>
        </w:rPr>
        <w:t>2020</w:t>
      </w:r>
      <w:r>
        <w:rPr>
          <w:rFonts w:hint="eastAsia" w:ascii="方正小标宋简体" w:hAnsi="方正小标宋简体" w:eastAsia="方正小标宋简体" w:cs="方正小标宋简体"/>
          <w:sz w:val="44"/>
          <w:szCs w:val="44"/>
        </w:rPr>
        <w:t>年度政务督查</w:t>
      </w:r>
      <w:r>
        <w:rPr>
          <w:rFonts w:hint="eastAsia" w:ascii="方正小标宋简体" w:hAnsi="方正小标宋简体" w:eastAsia="方正小标宋简体" w:cs="方正小标宋简体"/>
          <w:sz w:val="44"/>
          <w:szCs w:val="44"/>
          <w:lang w:val="en-US" w:eastAsia="zh-CN"/>
        </w:rPr>
        <w:t>工作</w:t>
      </w:r>
      <w:r>
        <w:rPr>
          <w:rFonts w:hint="eastAsia" w:ascii="方正小标宋简体" w:hAnsi="方正小标宋简体" w:eastAsia="方正小标宋简体" w:cs="方正小标宋简体"/>
          <w:sz w:val="44"/>
          <w:szCs w:val="44"/>
        </w:rPr>
        <w:t>先进</w:t>
      </w:r>
      <w:r>
        <w:rPr>
          <w:rFonts w:hint="eastAsia" w:ascii="方正小标宋简体" w:hAnsi="方正小标宋简体" w:eastAsia="方正小标宋简体" w:cs="方正小标宋简体"/>
          <w:sz w:val="44"/>
          <w:szCs w:val="44"/>
          <w:lang w:val="en-US" w:eastAsia="zh-CN"/>
        </w:rPr>
        <w:t>集体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和</w:t>
      </w:r>
      <w:r>
        <w:rPr>
          <w:rFonts w:hint="eastAsia" w:ascii="方正小标宋简体" w:hAnsi="方正小标宋简体" w:eastAsia="方正小标宋简体" w:cs="方正小标宋简体"/>
          <w:sz w:val="44"/>
          <w:szCs w:val="44"/>
        </w:rPr>
        <w:t>先进个人的决定</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文星仿宋" w:eastAsia="文星仿宋"/>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2020年，全县政务督查系统以习近平新时代中国特色社会主义思想为指导，围绕县委、县政府重大决策部署，紧扣全县中心工作和重点工作，创新思路，强化督查，推动落实，为郯城社会发展贡献督查力量，涌现出了一批先进单位和先进个人。为鼓励先进，经研究，决定对郯城街道、自然资源和规划局等15个先进集体和</w:t>
      </w:r>
      <w:r>
        <w:rPr>
          <w:rFonts w:hint="eastAsia" w:ascii="仿宋_GB2312" w:hAnsi="仿宋_GB2312" w:eastAsia="仿宋_GB2312" w:cs="仿宋_GB2312"/>
          <w:color w:val="auto"/>
          <w:sz w:val="32"/>
          <w:szCs w:val="32"/>
          <w:lang w:val="en-US" w:eastAsia="zh-CN"/>
        </w:rPr>
        <w:t>王珊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杜娟</w:t>
      </w:r>
      <w:r>
        <w:rPr>
          <w:rFonts w:hint="eastAsia" w:ascii="仿宋_GB2312" w:hAnsi="仿宋_GB2312" w:eastAsia="仿宋_GB2312" w:cs="仿宋_GB2312"/>
          <w:color w:val="auto"/>
          <w:sz w:val="32"/>
          <w:szCs w:val="32"/>
          <w:lang w:val="en-US" w:eastAsia="zh-CN"/>
        </w:rPr>
        <w:t>等</w:t>
      </w:r>
      <w:r>
        <w:rPr>
          <w:rFonts w:hint="eastAsia" w:ascii="仿宋_GB2312" w:hAnsi="仿宋_GB2312" w:eastAsia="仿宋_GB2312" w:cs="仿宋_GB2312"/>
          <w:kern w:val="2"/>
          <w:sz w:val="32"/>
          <w:szCs w:val="32"/>
          <w:lang w:val="en-US" w:eastAsia="zh-CN" w:bidi="ar-SA"/>
        </w:rPr>
        <w:t>82名先进个人予以通报表扬。</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希望受到表彰的单位和个人，戒骄戒躁，再接再厉，再创佳绩。全县各级各部门及广大督查人员要以先进集体和先进个人为榜样，转变作风，开拓创新，积极进取，狠抓落实，为开启新时代现代化强县建设做出新的更大贡献。</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w:t>
      </w:r>
      <w:r>
        <w:rPr>
          <w:rFonts w:hint="eastAsia" w:ascii="仿宋_GB2312" w:hAnsi="仿宋_GB2312" w:eastAsia="仿宋_GB2312" w:cs="仿宋_GB2312"/>
          <w:spacing w:val="0"/>
          <w:kern w:val="0"/>
          <w:sz w:val="32"/>
          <w:szCs w:val="32"/>
        </w:rPr>
        <w:t>郯城县20</w:t>
      </w:r>
      <w:r>
        <w:rPr>
          <w:rFonts w:hint="eastAsia" w:ascii="仿宋_GB2312" w:hAnsi="仿宋_GB2312" w:eastAsia="仿宋_GB2312" w:cs="仿宋_GB2312"/>
          <w:spacing w:val="0"/>
          <w:kern w:val="0"/>
          <w:sz w:val="32"/>
          <w:szCs w:val="32"/>
          <w:lang w:val="en-US" w:eastAsia="zh-CN"/>
        </w:rPr>
        <w:t>20</w:t>
      </w:r>
      <w:r>
        <w:rPr>
          <w:rFonts w:hint="eastAsia" w:ascii="仿宋_GB2312" w:hAnsi="仿宋_GB2312" w:eastAsia="仿宋_GB2312" w:cs="仿宋_GB2312"/>
          <w:spacing w:val="0"/>
          <w:kern w:val="0"/>
          <w:sz w:val="32"/>
          <w:szCs w:val="32"/>
        </w:rPr>
        <w:t>年度</w:t>
      </w:r>
      <w:r>
        <w:rPr>
          <w:rFonts w:hint="eastAsia" w:ascii="仿宋_GB2312" w:hAnsi="仿宋_GB2312" w:eastAsia="仿宋_GB2312" w:cs="仿宋_GB2312"/>
          <w:kern w:val="2"/>
          <w:sz w:val="32"/>
          <w:szCs w:val="32"/>
          <w:lang w:val="en-US" w:eastAsia="zh-CN" w:bidi="ar-SA"/>
        </w:rPr>
        <w:t>政务督查工作先进单位和先进个人名单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00" w:lineRule="exact"/>
        <w:ind w:firstLine="5760" w:firstLineChars="18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郯城县人民政府</w:t>
      </w:r>
    </w:p>
    <w:p>
      <w:pPr>
        <w:keepNext w:val="0"/>
        <w:keepLines w:val="0"/>
        <w:pageBreakBefore w:val="0"/>
        <w:widowControl w:val="0"/>
        <w:kinsoku/>
        <w:wordWrap/>
        <w:overflowPunct/>
        <w:topLinePunct w:val="0"/>
        <w:autoSpaceDE/>
        <w:autoSpaceDN/>
        <w:bidi w:val="0"/>
        <w:adjustRightInd/>
        <w:snapToGrid w:val="0"/>
        <w:spacing w:line="600" w:lineRule="exact"/>
        <w:ind w:firstLine="5760" w:firstLineChars="18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2021年8月5日</w:t>
      </w:r>
    </w:p>
    <w:p>
      <w:pPr>
        <w:keepNext w:val="0"/>
        <w:keepLines w:val="0"/>
        <w:pageBreakBefore w:val="0"/>
        <w:widowControl w:val="0"/>
        <w:kinsoku/>
        <w:wordWrap/>
        <w:overflowPunct/>
        <w:topLinePunct w:val="0"/>
        <w:autoSpaceDE/>
        <w:autoSpaceDN/>
        <w:bidi w:val="0"/>
        <w:adjustRightIn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kern w:val="0"/>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pacing w:line="600" w:lineRule="exact"/>
        <w:textAlignment w:val="auto"/>
        <w:rPr>
          <w:rFonts w:hint="eastAsia" w:ascii="黑体" w:hAnsi="黑体" w:eastAsia="黑体" w:cs="黑体"/>
          <w:sz w:val="32"/>
          <w:szCs w:val="32"/>
        </w:rPr>
      </w:pPr>
      <w:r>
        <w:rPr>
          <w:rFonts w:hint="eastAsia" w:ascii="黑体" w:hAnsi="黑体" w:eastAsia="黑体" w:cs="黑体"/>
          <w:sz w:val="32"/>
          <w:szCs w:val="32"/>
        </w:rPr>
        <w:br w:type="page"/>
      </w:r>
    </w:p>
    <w:p>
      <w:pPr>
        <w:rPr>
          <w:rFonts w:hint="eastAsia" w:ascii="仿宋_GB2312" w:hAnsi="仿宋_GB2312" w:eastAsia="仿宋_GB2312" w:cs="仿宋_GB2312"/>
          <w:kern w:val="2"/>
          <w:sz w:val="32"/>
          <w:szCs w:val="32"/>
          <w:lang w:val="en-US" w:eastAsia="zh-CN" w:bidi="ar-SA"/>
        </w:rPr>
      </w:pPr>
      <w:r>
        <w:rPr>
          <w:rFonts w:hint="eastAsia" w:ascii="黑体" w:hAnsi="黑体" w:eastAsia="黑体" w:cs="黑体"/>
          <w:sz w:val="32"/>
          <w:szCs w:val="32"/>
        </w:rPr>
        <w:t>附件</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郯城县2020年度政务督查工作先进集体</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和先进个人名单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一、先进集体</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1.乡镇（街道）</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郯城街道办事处  李庄镇政府  杨集镇政府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港上镇政府  花园镇政府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2.县直部门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县自然资源和规划局  郯城经济开发区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高科技电子产业园  县</w:t>
      </w:r>
      <w:r>
        <w:rPr>
          <w:rFonts w:hint="eastAsia" w:ascii="仿宋_GB2312" w:hAnsi="仿宋_GB2312" w:eastAsia="仿宋_GB2312" w:cs="仿宋_GB2312"/>
          <w:sz w:val="32"/>
          <w:szCs w:val="32"/>
          <w:vertAlign w:val="baseline"/>
          <w:lang w:val="en-US" w:eastAsia="zh-CN"/>
        </w:rPr>
        <w:t>发改局</w:t>
      </w:r>
      <w:r>
        <w:rPr>
          <w:rFonts w:hint="eastAsia" w:ascii="仿宋_GB2312" w:hAnsi="仿宋_GB2312" w:eastAsia="仿宋_GB2312" w:cs="仿宋_GB2312"/>
          <w:kern w:val="2"/>
          <w:sz w:val="32"/>
          <w:szCs w:val="32"/>
          <w:lang w:val="en-US" w:eastAsia="zh-CN" w:bidi="ar-SA"/>
        </w:rPr>
        <w:t xml:space="preserve">  县人社局  县工信局  </w:t>
      </w:r>
    </w:p>
    <w:p>
      <w:pPr>
        <w:keepNext w:val="0"/>
        <w:keepLines w:val="0"/>
        <w:pageBreakBefore w:val="0"/>
        <w:widowControl w:val="0"/>
        <w:kinsoku/>
        <w:wordWrap/>
        <w:overflowPunct/>
        <w:topLinePunct w:val="0"/>
        <w:autoSpaceDE/>
        <w:autoSpaceDN/>
        <w:bidi w:val="0"/>
        <w:adjustRightInd/>
        <w:snapToGrid w:val="0"/>
        <w:spacing w:line="600" w:lineRule="exact"/>
        <w:ind w:left="958" w:leftChars="304" w:hanging="320" w:hanging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县教育和体育局  县住建局  市生态环境局郯城县分局</w:t>
      </w:r>
    </w:p>
    <w:p>
      <w:pPr>
        <w:keepNext w:val="0"/>
        <w:keepLines w:val="0"/>
        <w:pageBreakBefore w:val="0"/>
        <w:widowControl w:val="0"/>
        <w:kinsoku/>
        <w:wordWrap/>
        <w:overflowPunct/>
        <w:topLinePunct w:val="0"/>
        <w:autoSpaceDE/>
        <w:autoSpaceDN/>
        <w:bidi w:val="0"/>
        <w:adjustRightInd/>
        <w:snapToGrid w:val="0"/>
        <w:spacing w:line="600" w:lineRule="exact"/>
        <w:ind w:left="958" w:leftChars="304" w:hanging="320" w:hanging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县交通运输局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二、先进个人</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z w:val="32"/>
          <w:szCs w:val="32"/>
          <w:vertAlign w:val="baseline"/>
          <w:lang w:val="en-US" w:eastAsia="zh-CN"/>
        </w:rPr>
        <w:t xml:space="preserve">王  珊  </w:t>
      </w:r>
      <w:r>
        <w:rPr>
          <w:rFonts w:hint="eastAsia" w:ascii="仿宋_GB2312" w:hAnsi="仿宋_GB2312" w:eastAsia="仿宋_GB2312" w:cs="仿宋_GB2312"/>
          <w:color w:val="auto"/>
          <w:sz w:val="32"/>
          <w:szCs w:val="32"/>
        </w:rPr>
        <w:t>杜</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娟</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徐庆欣  王喜康  </w:t>
      </w:r>
      <w:r>
        <w:rPr>
          <w:rFonts w:hint="eastAsia" w:ascii="仿宋_GB2312" w:hAnsi="仿宋_GB2312" w:eastAsia="仿宋_GB2312" w:cs="仿宋_GB2312"/>
          <w:color w:val="auto"/>
          <w:kern w:val="0"/>
          <w:sz w:val="32"/>
          <w:szCs w:val="32"/>
          <w:lang w:val="en-US" w:eastAsia="zh-CN"/>
        </w:rPr>
        <w:t xml:space="preserve">吕九泰  谢凡桂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杜佩峰</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桑明利  </w:t>
      </w:r>
      <w:r>
        <w:rPr>
          <w:rFonts w:hint="eastAsia" w:ascii="仿宋_GB2312" w:hAnsi="仿宋_GB2312" w:eastAsia="仿宋_GB2312" w:cs="仿宋_GB2312"/>
          <w:color w:val="auto"/>
          <w:sz w:val="32"/>
          <w:szCs w:val="32"/>
          <w:lang w:val="en-US" w:eastAsia="zh-CN"/>
        </w:rPr>
        <w:t xml:space="preserve">师陈洋  </w:t>
      </w:r>
      <w:r>
        <w:rPr>
          <w:rFonts w:hint="eastAsia" w:ascii="仿宋_GB2312" w:hAnsi="仿宋_GB2312" w:eastAsia="仿宋_GB2312" w:cs="仿宋_GB2312"/>
          <w:color w:val="auto"/>
          <w:kern w:val="0"/>
          <w:sz w:val="32"/>
          <w:szCs w:val="32"/>
          <w:lang w:val="en-US" w:eastAsia="zh-CN"/>
        </w:rPr>
        <w:t xml:space="preserve">李保宇  </w:t>
      </w:r>
      <w:r>
        <w:rPr>
          <w:rFonts w:hint="eastAsia" w:ascii="仿宋_GB2312" w:hAnsi="仿宋_GB2312" w:eastAsia="仿宋_GB2312" w:cs="仿宋_GB2312"/>
          <w:color w:val="auto"/>
          <w:sz w:val="32"/>
          <w:szCs w:val="32"/>
          <w:vertAlign w:val="baseline"/>
          <w:lang w:val="en-US" w:eastAsia="zh-CN"/>
        </w:rPr>
        <w:t xml:space="preserve">王  硕  张衍阳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王宇辰  </w:t>
      </w:r>
      <w:r>
        <w:rPr>
          <w:rFonts w:hint="eastAsia" w:ascii="仿宋_GB2312" w:hAnsi="仿宋_GB2312" w:eastAsia="仿宋_GB2312" w:cs="仿宋_GB2312"/>
          <w:sz w:val="32"/>
          <w:szCs w:val="32"/>
          <w:vertAlign w:val="baseline"/>
          <w:lang w:val="en-US" w:eastAsia="zh-CN"/>
        </w:rPr>
        <w:t xml:space="preserve">赵  芮  </w:t>
      </w:r>
      <w:r>
        <w:rPr>
          <w:rFonts w:hint="eastAsia" w:ascii="仿宋_GB2312" w:hAnsi="仿宋_GB2312" w:eastAsia="仿宋_GB2312" w:cs="仿宋_GB2312"/>
          <w:color w:val="auto"/>
          <w:kern w:val="0"/>
          <w:sz w:val="32"/>
          <w:szCs w:val="32"/>
          <w:lang w:val="en-US" w:eastAsia="zh-CN"/>
        </w:rPr>
        <w:t xml:space="preserve">曹俊超  蔺雪慧  </w:t>
      </w:r>
      <w:r>
        <w:rPr>
          <w:rFonts w:hint="eastAsia" w:ascii="仿宋_GB2312" w:hAnsi="仿宋_GB2312" w:eastAsia="仿宋_GB2312" w:cs="仿宋_GB2312"/>
          <w:color w:val="auto"/>
          <w:sz w:val="32"/>
          <w:szCs w:val="32"/>
          <w:vertAlign w:val="baseline"/>
          <w:lang w:val="en-US" w:eastAsia="zh-CN"/>
        </w:rPr>
        <w:t xml:space="preserve">张可心  </w:t>
      </w:r>
      <w:r>
        <w:rPr>
          <w:rFonts w:hint="eastAsia" w:ascii="仿宋_GB2312" w:hAnsi="仿宋_GB2312" w:eastAsia="仿宋_GB2312" w:cs="仿宋_GB2312"/>
          <w:color w:val="auto"/>
          <w:kern w:val="0"/>
          <w:sz w:val="32"/>
          <w:szCs w:val="32"/>
          <w:lang w:val="en-US" w:eastAsia="zh-CN"/>
        </w:rPr>
        <w:t xml:space="preserve">姚文杰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vertAlign w:val="baseline"/>
          <w:lang w:val="en-US" w:eastAsia="zh-CN"/>
        </w:rPr>
        <w:t xml:space="preserve">李孝宽  </w:t>
      </w:r>
      <w:r>
        <w:rPr>
          <w:rFonts w:hint="eastAsia" w:ascii="仿宋_GB2312" w:hAnsi="仿宋_GB2312" w:eastAsia="仿宋_GB2312" w:cs="仿宋_GB2312"/>
          <w:color w:val="auto"/>
          <w:sz w:val="32"/>
          <w:szCs w:val="32"/>
        </w:rPr>
        <w:t>颜东明</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邹斯敏</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李学帅</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公君超</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徐希旺</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孙文秀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王永富  葛振红  张  贺  </w:t>
      </w:r>
      <w:r>
        <w:rPr>
          <w:rFonts w:hint="eastAsia" w:ascii="仿宋_GB2312" w:hAnsi="仿宋_GB2312" w:eastAsia="仿宋_GB2312" w:cs="仿宋_GB2312"/>
          <w:color w:val="auto"/>
          <w:sz w:val="32"/>
          <w:szCs w:val="32"/>
          <w:lang w:val="en-US" w:eastAsia="zh-CN"/>
        </w:rPr>
        <w:t xml:space="preserve">张云龙  </w:t>
      </w:r>
      <w:r>
        <w:rPr>
          <w:rFonts w:hint="eastAsia" w:ascii="仿宋_GB2312" w:hAnsi="仿宋_GB2312" w:eastAsia="仿宋_GB2312" w:cs="仿宋_GB2312"/>
          <w:color w:val="auto"/>
          <w:sz w:val="32"/>
          <w:szCs w:val="32"/>
        </w:rPr>
        <w:t>李净梅</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徐会友</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刘</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涛</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郭</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娜</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李  晨  </w:t>
      </w:r>
      <w:r>
        <w:rPr>
          <w:rFonts w:hint="eastAsia" w:ascii="仿宋_GB2312" w:hAnsi="仿宋_GB2312" w:eastAsia="仿宋_GB2312" w:cs="仿宋_GB2312"/>
          <w:color w:val="auto"/>
          <w:sz w:val="32"/>
          <w:szCs w:val="32"/>
          <w:lang w:val="en-US" w:eastAsia="zh-CN"/>
        </w:rPr>
        <w:t xml:space="preserve">陈桂妍  </w:t>
      </w:r>
      <w:r>
        <w:rPr>
          <w:rFonts w:hint="eastAsia" w:ascii="仿宋_GB2312" w:hAnsi="仿宋_GB2312" w:eastAsia="仿宋_GB2312" w:cs="仿宋_GB2312"/>
          <w:color w:val="auto"/>
          <w:sz w:val="32"/>
          <w:szCs w:val="32"/>
          <w:vertAlign w:val="baseline"/>
          <w:lang w:val="en-US" w:eastAsia="zh-CN"/>
        </w:rPr>
        <w:t xml:space="preserve">王  婷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vertAlign w:val="baseline"/>
          <w:lang w:val="en-US" w:eastAsia="zh-CN"/>
        </w:rPr>
        <w:t xml:space="preserve">刘  伟  </w:t>
      </w:r>
      <w:r>
        <w:rPr>
          <w:rFonts w:hint="eastAsia" w:ascii="仿宋_GB2312" w:hAnsi="仿宋_GB2312" w:eastAsia="仿宋_GB2312" w:cs="仿宋_GB2312"/>
          <w:color w:val="auto"/>
          <w:sz w:val="32"/>
          <w:szCs w:val="32"/>
        </w:rPr>
        <w:t>陈景印</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别士霞</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王</w:t>
      </w:r>
      <w:r>
        <w:rPr>
          <w:rFonts w:hint="eastAsia" w:ascii="仿宋_GB2312" w:hAnsi="仿宋_GB2312" w:eastAsia="仿宋_GB2312" w:cs="仿宋_GB2312"/>
          <w:color w:val="auto"/>
          <w:sz w:val="32"/>
          <w:szCs w:val="32"/>
        </w:rPr>
        <w:t>浩元</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杨舒婷  </w:t>
      </w:r>
      <w:r>
        <w:rPr>
          <w:rFonts w:hint="eastAsia" w:ascii="仿宋_GB2312" w:hAnsi="仿宋_GB2312" w:eastAsia="仿宋_GB2312" w:cs="仿宋_GB2312"/>
          <w:color w:val="auto"/>
          <w:sz w:val="32"/>
          <w:szCs w:val="32"/>
        </w:rPr>
        <w:t>廖忠丽</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vertAlign w:val="baseline"/>
          <w:lang w:val="en-US" w:eastAsia="zh-CN"/>
        </w:rPr>
        <w:t xml:space="preserve">王  芹  张  欣  </w:t>
      </w:r>
      <w:r>
        <w:rPr>
          <w:rFonts w:hint="eastAsia" w:ascii="仿宋_GB2312" w:hAnsi="仿宋_GB2312" w:eastAsia="仿宋_GB2312" w:cs="仿宋_GB2312"/>
          <w:color w:val="auto"/>
          <w:kern w:val="2"/>
          <w:sz w:val="32"/>
          <w:szCs w:val="32"/>
          <w:vertAlign w:val="baseline"/>
          <w:lang w:val="en-US" w:eastAsia="zh-CN" w:bidi="ar-SA"/>
        </w:rPr>
        <w:t xml:space="preserve">许成军  张  露  王  超  </w:t>
      </w:r>
      <w:r>
        <w:rPr>
          <w:rFonts w:hint="eastAsia" w:ascii="仿宋_GB2312" w:hAnsi="仿宋_GB2312" w:eastAsia="仿宋_GB2312" w:cs="仿宋_GB2312"/>
          <w:color w:val="auto"/>
          <w:sz w:val="32"/>
          <w:szCs w:val="32"/>
          <w:lang w:val="en-US" w:eastAsia="zh-CN"/>
        </w:rPr>
        <w:t xml:space="preserve">丁泉林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李奎富</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 xml:space="preserve">徐加龙  </w:t>
      </w:r>
      <w:r>
        <w:rPr>
          <w:rFonts w:hint="eastAsia" w:ascii="仿宋_GB2312" w:hAnsi="仿宋_GB2312" w:eastAsia="仿宋_GB2312" w:cs="仿宋_GB2312"/>
          <w:color w:val="auto"/>
          <w:kern w:val="2"/>
          <w:sz w:val="32"/>
          <w:szCs w:val="32"/>
          <w:vertAlign w:val="baseline"/>
          <w:lang w:val="en-US" w:eastAsia="zh-CN" w:bidi="ar-SA"/>
        </w:rPr>
        <w:t xml:space="preserve">邓亚东  </w:t>
      </w:r>
      <w:r>
        <w:rPr>
          <w:rFonts w:hint="eastAsia" w:ascii="仿宋_GB2312" w:hAnsi="仿宋_GB2312" w:eastAsia="仿宋_GB2312" w:cs="仿宋_GB2312"/>
          <w:color w:val="auto"/>
          <w:sz w:val="32"/>
          <w:szCs w:val="32"/>
          <w:vertAlign w:val="baseline"/>
          <w:lang w:val="en-US" w:eastAsia="zh-CN"/>
        </w:rPr>
        <w:t xml:space="preserve">王云飞  花春玉  杨尚文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z w:val="32"/>
          <w:szCs w:val="32"/>
          <w:lang w:val="en-US" w:eastAsia="zh-CN"/>
        </w:rPr>
        <w:t xml:space="preserve">李国良  周  莉  冯英卓  李  硕  </w:t>
      </w:r>
      <w:r>
        <w:rPr>
          <w:rFonts w:hint="eastAsia" w:ascii="仿宋_GB2312" w:hAnsi="仿宋_GB2312" w:eastAsia="仿宋_GB2312" w:cs="仿宋_GB2312"/>
          <w:color w:val="auto"/>
          <w:kern w:val="0"/>
          <w:sz w:val="32"/>
          <w:szCs w:val="32"/>
          <w:lang w:val="en-US" w:eastAsia="zh-CN"/>
        </w:rPr>
        <w:t xml:space="preserve">张  磊  王  荣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高智慧  咸宝平  梅光艳  王树纲  </w:t>
      </w:r>
      <w:r>
        <w:rPr>
          <w:rFonts w:hint="eastAsia" w:ascii="仿宋_GB2312" w:hAnsi="仿宋_GB2312" w:eastAsia="仿宋_GB2312" w:cs="仿宋_GB2312"/>
          <w:color w:val="auto"/>
          <w:sz w:val="32"/>
          <w:szCs w:val="32"/>
          <w:lang w:val="en-US" w:eastAsia="zh-CN"/>
        </w:rPr>
        <w:t xml:space="preserve">尹晓芝  </w:t>
      </w:r>
      <w:r>
        <w:rPr>
          <w:rFonts w:hint="eastAsia" w:ascii="仿宋_GB2312" w:hAnsi="仿宋_GB2312" w:eastAsia="仿宋_GB2312" w:cs="仿宋_GB2312"/>
          <w:color w:val="auto"/>
          <w:kern w:val="0"/>
          <w:sz w:val="32"/>
          <w:szCs w:val="32"/>
          <w:lang w:val="en-US" w:eastAsia="zh-CN"/>
        </w:rPr>
        <w:t xml:space="preserve">叶志政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rPr>
        <w:t xml:space="preserve">张  楠  李镇东  </w:t>
      </w:r>
      <w:r>
        <w:rPr>
          <w:rFonts w:hint="eastAsia" w:ascii="仿宋_GB2312" w:hAnsi="仿宋_GB2312" w:eastAsia="仿宋_GB2312" w:cs="仿宋_GB2312"/>
          <w:color w:val="auto"/>
          <w:sz w:val="32"/>
          <w:szCs w:val="32"/>
        </w:rPr>
        <w:t>黄荣新</w:t>
      </w:r>
      <w:r>
        <w:rPr>
          <w:rFonts w:hint="eastAsia" w:ascii="仿宋_GB2312" w:hAnsi="仿宋_GB2312" w:eastAsia="仿宋_GB2312" w:cs="仿宋_GB2312"/>
          <w:color w:val="auto"/>
          <w:sz w:val="32"/>
          <w:szCs w:val="32"/>
          <w:lang w:val="en-US" w:eastAsia="zh-CN"/>
        </w:rPr>
        <w:t xml:space="preserve">  邵明强  王艳运  张远福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z w:val="32"/>
          <w:szCs w:val="32"/>
          <w:lang w:val="en-US" w:eastAsia="zh-CN"/>
        </w:rPr>
        <w:t xml:space="preserve">刘  敏  </w:t>
      </w:r>
      <w:r>
        <w:rPr>
          <w:rFonts w:hint="eastAsia" w:ascii="仿宋_GB2312" w:hAnsi="仿宋_GB2312" w:eastAsia="仿宋_GB2312" w:cs="仿宋_GB2312"/>
          <w:color w:val="auto"/>
          <w:kern w:val="0"/>
          <w:sz w:val="32"/>
          <w:szCs w:val="32"/>
          <w:lang w:val="en-US" w:eastAsia="zh-CN"/>
        </w:rPr>
        <w:t xml:space="preserve">吴士生  杜培明  丁明谦  </w:t>
      </w:r>
      <w:r>
        <w:rPr>
          <w:rFonts w:hint="eastAsia" w:ascii="仿宋_GB2312" w:hAnsi="仿宋_GB2312" w:eastAsia="仿宋_GB2312" w:cs="仿宋_GB2312"/>
          <w:color w:val="auto"/>
          <w:sz w:val="32"/>
          <w:szCs w:val="32"/>
          <w:vertAlign w:val="baseline"/>
          <w:lang w:val="en-US" w:eastAsia="zh-CN"/>
        </w:rPr>
        <w:t xml:space="preserve">王紫文  </w:t>
      </w:r>
      <w:r>
        <w:rPr>
          <w:rFonts w:hint="eastAsia" w:ascii="仿宋_GB2312" w:hAnsi="仿宋_GB2312" w:eastAsia="仿宋_GB2312" w:cs="仿宋_GB2312"/>
          <w:color w:val="auto"/>
          <w:kern w:val="0"/>
          <w:sz w:val="32"/>
          <w:szCs w:val="32"/>
          <w:lang w:val="en-US" w:eastAsia="zh-CN"/>
        </w:rPr>
        <w:t>宋法龙</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auto"/>
          <w:kern w:val="0"/>
          <w:sz w:val="32"/>
          <w:szCs w:val="32"/>
          <w:lang w:val="en-US" w:eastAsia="zh-CN"/>
        </w:rPr>
        <w:t xml:space="preserve">张  翠  范佃香  马金宝  </w:t>
      </w:r>
      <w:r>
        <w:rPr>
          <w:rFonts w:hint="eastAsia" w:ascii="仿宋_GB2312" w:hAnsi="仿宋_GB2312" w:eastAsia="仿宋_GB2312" w:cs="仿宋_GB2312"/>
          <w:color w:val="auto"/>
          <w:sz w:val="32"/>
          <w:szCs w:val="32"/>
        </w:rPr>
        <w:t>朱丽华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pStyle w:val="4"/>
        <w:rPr>
          <w:rFonts w:hint="eastAsia"/>
        </w:rPr>
        <w:sectPr>
          <w:pgSz w:w="11906" w:h="16838"/>
          <w:pgMar w:top="1797" w:right="1440" w:bottom="1797" w:left="1440" w:header="851" w:footer="992" w:gutter="0"/>
          <w:pgNumType w:fmt="decimal"/>
          <w:cols w:space="720" w:num="1"/>
          <w:docGrid w:type="lines" w:linePitch="634" w:charSpace="0"/>
        </w:sectPr>
      </w:pPr>
    </w:p>
    <w:p>
      <w:pPr>
        <w:pStyle w:val="4"/>
        <w:rPr>
          <w:rFonts w:hint="eastAsia"/>
        </w:rPr>
      </w:pPr>
    </w:p>
    <w:p>
      <w:pPr>
        <w:ind w:right="-88" w:rightChars="-42"/>
        <w:jc w:val="center"/>
        <w:rPr>
          <w:rFonts w:hint="eastAsia" w:ascii="文星仿宋" w:hAnsi="文星仿宋" w:eastAsia="文星仿宋"/>
          <w:sz w:val="32"/>
          <w:szCs w:val="32"/>
        </w:rPr>
      </w:pPr>
    </w:p>
    <w:p>
      <w:pPr>
        <w:pStyle w:val="4"/>
        <w:rPr>
          <w:rFonts w:hint="eastAsia" w:ascii="文星仿宋" w:hAnsi="文星仿宋" w:eastAsia="文星仿宋"/>
          <w:sz w:val="32"/>
          <w:szCs w:val="32"/>
        </w:rPr>
      </w:pPr>
    </w:p>
    <w:p>
      <w:pPr>
        <w:pStyle w:val="4"/>
        <w:rPr>
          <w:rFonts w:hint="eastAsia" w:ascii="文星仿宋" w:hAnsi="文星仿宋" w:eastAsia="文星仿宋"/>
          <w:sz w:val="32"/>
          <w:szCs w:val="32"/>
        </w:rPr>
      </w:pPr>
    </w:p>
    <w:p>
      <w:pPr>
        <w:pStyle w:val="4"/>
        <w:rPr>
          <w:rFonts w:hint="eastAsia" w:ascii="文星仿宋" w:hAnsi="文星仿宋" w:eastAsia="文星仿宋"/>
          <w:sz w:val="32"/>
          <w:szCs w:val="32"/>
        </w:rPr>
      </w:pPr>
    </w:p>
    <w:p>
      <w:pPr>
        <w:pStyle w:val="4"/>
        <w:rPr>
          <w:rFonts w:hint="eastAsia" w:ascii="文星仿宋" w:hAnsi="文星仿宋" w:eastAsia="文星仿宋"/>
          <w:sz w:val="32"/>
          <w:szCs w:val="32"/>
        </w:rPr>
      </w:pPr>
    </w:p>
    <w:p>
      <w:pPr>
        <w:pStyle w:val="4"/>
        <w:rPr>
          <w:rFonts w:hint="eastAsia" w:ascii="文星仿宋" w:hAnsi="文星仿宋" w:eastAsia="文星仿宋"/>
          <w:sz w:val="32"/>
          <w:szCs w:val="32"/>
        </w:rPr>
      </w:pPr>
    </w:p>
    <w:p>
      <w:pPr>
        <w:ind w:right="-88" w:rightChars="-42"/>
        <w:jc w:val="center"/>
        <w:rPr>
          <w:rFonts w:hint="eastAsia" w:ascii="文星仿宋" w:hAnsi="文星仿宋" w:eastAsia="文星仿宋"/>
          <w:sz w:val="32"/>
          <w:szCs w:val="32"/>
        </w:rPr>
      </w:pPr>
      <w:r>
        <w:rPr>
          <w:rFonts w:hint="eastAsia" w:ascii="文星仿宋" w:hAnsi="文星仿宋" w:eastAsia="文星仿宋"/>
          <w:sz w:val="32"/>
          <w:szCs w:val="32"/>
          <w:lang w:eastAsia="zh-CN"/>
        </w:rPr>
        <w:t>郯</w:t>
      </w:r>
      <w:r>
        <w:rPr>
          <w:rFonts w:hint="eastAsia" w:ascii="文星仿宋" w:hAnsi="文星仿宋" w:eastAsia="文星仿宋"/>
          <w:sz w:val="32"/>
          <w:szCs w:val="32"/>
        </w:rPr>
        <w:t>政</w:t>
      </w:r>
      <w:r>
        <w:rPr>
          <w:rFonts w:hint="eastAsia" w:ascii="文星仿宋" w:hAnsi="文星仿宋" w:eastAsia="文星仿宋"/>
          <w:sz w:val="32"/>
          <w:szCs w:val="32"/>
          <w:lang w:eastAsia="zh-CN"/>
        </w:rPr>
        <w:t>字</w:t>
      </w:r>
      <w:r>
        <w:rPr>
          <w:rFonts w:hint="eastAsia" w:ascii="文星仿宋" w:hAnsi="文星仿宋" w:eastAsia="文星仿宋"/>
          <w:sz w:val="32"/>
          <w:szCs w:val="32"/>
        </w:rPr>
        <w:t>〔2021〕</w:t>
      </w:r>
      <w:r>
        <w:rPr>
          <w:rFonts w:hint="eastAsia" w:ascii="文星仿宋" w:hAnsi="文星仿宋" w:eastAsia="文星仿宋"/>
          <w:sz w:val="32"/>
          <w:szCs w:val="32"/>
          <w:lang w:val="en-US" w:eastAsia="zh-CN"/>
        </w:rPr>
        <w:t>43</w:t>
      </w:r>
      <w:r>
        <w:rPr>
          <w:rFonts w:hint="eastAsia" w:ascii="文星仿宋" w:hAnsi="文星仿宋" w:eastAsia="文星仿宋"/>
          <w:sz w:val="32"/>
          <w:szCs w:val="32"/>
        </w:rPr>
        <w:t>号</w:t>
      </w:r>
    </w:p>
    <w:p>
      <w:pPr>
        <w:spacing w:line="540" w:lineRule="exact"/>
        <w:rPr>
          <w:rFonts w:hint="eastAsia" w:ascii="文星标宋" w:hAnsi="Calibri" w:eastAsia="文星标宋" w:cs="宋体"/>
          <w:kern w:val="0"/>
          <w:sz w:val="44"/>
          <w:szCs w:val="44"/>
        </w:rPr>
      </w:pPr>
    </w:p>
    <w:p>
      <w:pPr>
        <w:spacing w:line="530" w:lineRule="exact"/>
        <w:jc w:val="center"/>
        <w:rPr>
          <w:rFonts w:ascii="文星标宋" w:hAnsi="黑体" w:eastAsia="文星标宋"/>
          <w:sz w:val="44"/>
          <w:szCs w:val="44"/>
        </w:rPr>
      </w:pPr>
    </w:p>
    <w:p>
      <w:pPr>
        <w:spacing w:line="55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郯城县</w:t>
      </w:r>
      <w:r>
        <w:rPr>
          <w:rFonts w:hint="eastAsia" w:ascii="方正小标宋简体" w:hAnsi="方正小标宋简体" w:eastAsia="方正小标宋简体" w:cs="方正小标宋简体"/>
          <w:color w:val="000000"/>
          <w:sz w:val="44"/>
          <w:szCs w:val="44"/>
        </w:rPr>
        <w:t>人民政府</w:t>
      </w:r>
    </w:p>
    <w:p>
      <w:pPr>
        <w:spacing w:line="55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关于推进“市县同权”改革</w:t>
      </w:r>
      <w:r>
        <w:rPr>
          <w:rFonts w:hint="eastAsia" w:ascii="方正小标宋简体" w:hAnsi="方正小标宋简体" w:eastAsia="方正小标宋简体" w:cs="方正小标宋简体"/>
          <w:color w:val="000000"/>
          <w:sz w:val="44"/>
          <w:szCs w:val="44"/>
          <w:lang w:eastAsia="zh-CN"/>
        </w:rPr>
        <w:t>承接</w:t>
      </w:r>
      <w:r>
        <w:rPr>
          <w:rFonts w:hint="eastAsia" w:ascii="方正小标宋简体" w:hAnsi="方正小标宋简体" w:eastAsia="方正小标宋简体" w:cs="方正小标宋简体"/>
          <w:color w:val="000000"/>
          <w:sz w:val="44"/>
          <w:szCs w:val="44"/>
        </w:rPr>
        <w:t>实施部分</w:t>
      </w:r>
    </w:p>
    <w:p>
      <w:pPr>
        <w:spacing w:line="55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行政权力事项的通知</w:t>
      </w:r>
    </w:p>
    <w:p>
      <w:pPr>
        <w:spacing w:line="550" w:lineRule="exact"/>
        <w:rPr>
          <w:rFonts w:hint="eastAsia" w:ascii="文星仿宋" w:hAnsi="文星仿宋" w:eastAsia="文星仿宋" w:cs="宋体"/>
          <w:kern w:val="0"/>
          <w:sz w:val="32"/>
          <w:szCs w:val="32"/>
        </w:rPr>
      </w:pPr>
    </w:p>
    <w:p>
      <w:pPr>
        <w:spacing w:line="55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县</w:t>
      </w:r>
      <w:r>
        <w:rPr>
          <w:rFonts w:hint="eastAsia" w:ascii="仿宋_GB2312" w:hAnsi="仿宋_GB2312" w:eastAsia="仿宋_GB2312" w:cs="仿宋_GB2312"/>
          <w:kern w:val="0"/>
          <w:sz w:val="32"/>
          <w:szCs w:val="32"/>
          <w:lang w:eastAsia="zh-CN"/>
        </w:rPr>
        <w:t>直有关</w:t>
      </w:r>
      <w:r>
        <w:rPr>
          <w:rFonts w:hint="eastAsia" w:ascii="仿宋_GB2312" w:hAnsi="仿宋_GB2312" w:eastAsia="仿宋_GB2312" w:cs="仿宋_GB2312"/>
          <w:kern w:val="0"/>
          <w:sz w:val="32"/>
          <w:szCs w:val="32"/>
        </w:rPr>
        <w:t>部门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单位：</w:t>
      </w:r>
    </w:p>
    <w:p>
      <w:pPr>
        <w:spacing w:line="55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为深入贯彻落实国务院和省</w:t>
      </w:r>
      <w:r>
        <w:rPr>
          <w:rFonts w:hint="eastAsia" w:ascii="仿宋_GB2312" w:hAnsi="仿宋_GB2312" w:eastAsia="仿宋_GB2312" w:cs="仿宋_GB2312"/>
          <w:kern w:val="0"/>
          <w:sz w:val="32"/>
          <w:szCs w:val="32"/>
          <w:lang w:eastAsia="zh-CN"/>
        </w:rPr>
        <w:t>、市</w:t>
      </w:r>
      <w:r>
        <w:rPr>
          <w:rFonts w:hint="eastAsia" w:ascii="仿宋_GB2312" w:hAnsi="仿宋_GB2312" w:eastAsia="仿宋_GB2312" w:cs="仿宋_GB2312"/>
          <w:kern w:val="0"/>
          <w:sz w:val="32"/>
          <w:szCs w:val="32"/>
        </w:rPr>
        <w:t>关于政府职能转变及“放管服”改革的总体部署要求，进一步增强服务企业、群众能力，全力打造精简高效政务生态</w:t>
      </w:r>
      <w:r>
        <w:rPr>
          <w:rFonts w:hint="eastAsia" w:ascii="仿宋_GB2312" w:hAnsi="仿宋_GB2312" w:eastAsia="仿宋_GB2312" w:cs="仿宋_GB2312"/>
          <w:kern w:val="0"/>
          <w:sz w:val="32"/>
          <w:szCs w:val="32"/>
          <w:lang w:eastAsia="zh-CN"/>
        </w:rPr>
        <w:t>。根据市政府《关于推进“市县同权”改革调整实施部分行政权力和公共服务事项的通知》要求，</w:t>
      </w:r>
      <w:r>
        <w:rPr>
          <w:rFonts w:hint="eastAsia" w:ascii="仿宋_GB2312" w:hAnsi="仿宋_GB2312" w:eastAsia="仿宋_GB2312" w:cs="仿宋_GB2312"/>
          <w:kern w:val="0"/>
          <w:sz w:val="32"/>
          <w:szCs w:val="32"/>
        </w:rPr>
        <w:t>现将有关事项通知如下：</w:t>
      </w:r>
    </w:p>
    <w:p>
      <w:pPr>
        <w:spacing w:line="550" w:lineRule="exact"/>
        <w:ind w:firstLine="640"/>
        <w:rPr>
          <w:rFonts w:hint="eastAsia" w:ascii="黑体" w:hAnsi="黑体" w:eastAsia="黑体" w:cs="黑体"/>
          <w:kern w:val="0"/>
          <w:sz w:val="32"/>
          <w:szCs w:val="32"/>
        </w:rPr>
      </w:pPr>
      <w:r>
        <w:rPr>
          <w:rFonts w:hint="eastAsia" w:ascii="黑体" w:hAnsi="黑体" w:eastAsia="黑体" w:cs="黑体"/>
          <w:kern w:val="0"/>
          <w:sz w:val="32"/>
          <w:szCs w:val="32"/>
        </w:rPr>
        <w:t>一、调整范围及方式</w:t>
      </w:r>
    </w:p>
    <w:p>
      <w:pPr>
        <w:spacing w:line="55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按照“能放则放、应放尽放”原则，综合运用直接下放、委托实施、下放实质性审核权和服务窗口前移等方式，市级</w:t>
      </w:r>
      <w:r>
        <w:rPr>
          <w:rFonts w:hint="eastAsia" w:ascii="仿宋_GB2312" w:hAnsi="仿宋_GB2312" w:eastAsia="仿宋_GB2312" w:cs="仿宋_GB2312"/>
          <w:kern w:val="0"/>
          <w:sz w:val="32"/>
          <w:szCs w:val="32"/>
          <w:lang w:eastAsia="zh-CN"/>
        </w:rPr>
        <w:t>将</w:t>
      </w:r>
      <w:r>
        <w:rPr>
          <w:rFonts w:hint="eastAsia" w:ascii="仿宋_GB2312" w:hAnsi="仿宋_GB2312" w:eastAsia="仿宋_GB2312" w:cs="仿宋_GB2312"/>
          <w:kern w:val="0"/>
          <w:sz w:val="32"/>
          <w:szCs w:val="32"/>
          <w:lang w:val="en-US" w:eastAsia="zh-CN"/>
        </w:rPr>
        <w:t>24</w:t>
      </w:r>
      <w:r>
        <w:rPr>
          <w:rFonts w:hint="eastAsia" w:ascii="仿宋_GB2312" w:hAnsi="仿宋_GB2312" w:eastAsia="仿宋_GB2312" w:cs="仿宋_GB2312"/>
          <w:kern w:val="0"/>
          <w:sz w:val="32"/>
          <w:szCs w:val="32"/>
        </w:rPr>
        <w:t>项行政权力事项调整由县级实施。同时，对</w:t>
      </w:r>
      <w:r>
        <w:rPr>
          <w:rFonts w:hint="eastAsia" w:ascii="仿宋_GB2312" w:hAnsi="仿宋_GB2312" w:eastAsia="仿宋_GB2312" w:cs="仿宋_GB2312"/>
          <w:kern w:val="0"/>
          <w:sz w:val="32"/>
          <w:szCs w:val="32"/>
          <w:lang w:eastAsia="zh-CN"/>
        </w:rPr>
        <w:t>前期</w:t>
      </w:r>
      <w:r>
        <w:rPr>
          <w:rFonts w:hint="eastAsia" w:ascii="仿宋_GB2312" w:hAnsi="仿宋_GB2312" w:eastAsia="仿宋_GB2312" w:cs="仿宋_GB2312"/>
          <w:kern w:val="0"/>
          <w:sz w:val="32"/>
          <w:szCs w:val="32"/>
        </w:rPr>
        <w:t>已</w:t>
      </w:r>
      <w:r>
        <w:rPr>
          <w:rFonts w:hint="eastAsia" w:ascii="仿宋_GB2312" w:hAnsi="仿宋_GB2312" w:eastAsia="仿宋_GB2312" w:cs="仿宋_GB2312"/>
          <w:kern w:val="0"/>
          <w:sz w:val="32"/>
          <w:szCs w:val="32"/>
          <w:lang w:eastAsia="zh-CN"/>
        </w:rPr>
        <w:t>下放</w:t>
      </w:r>
      <w:r>
        <w:rPr>
          <w:rFonts w:hint="eastAsia" w:ascii="仿宋_GB2312" w:hAnsi="仿宋_GB2312" w:eastAsia="仿宋_GB2312" w:cs="仿宋_GB2312"/>
          <w:kern w:val="0"/>
          <w:sz w:val="32"/>
          <w:szCs w:val="32"/>
        </w:rPr>
        <w:t>的1</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项行政权力事项进行了调整，并梳理了10项行政许可关联事项，调整由县级实施，确保关联事项能在同一层级“一链办理”。</w:t>
      </w:r>
    </w:p>
    <w:p>
      <w:pPr>
        <w:spacing w:line="55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调整后，除法律明文规定为县级权限的事项外，市、县两级行政许可及关联事项，由企业和群众自主选择到市或县（区）政务服务中心的业务窗口就近办理、便捷申报。县</w:t>
      </w:r>
      <w:r>
        <w:rPr>
          <w:rFonts w:hint="eastAsia" w:ascii="仿宋_GB2312" w:hAnsi="仿宋_GB2312" w:eastAsia="仿宋_GB2312" w:cs="仿宋_GB2312"/>
          <w:kern w:val="0"/>
          <w:sz w:val="32"/>
          <w:szCs w:val="32"/>
          <w:lang w:eastAsia="zh-CN"/>
        </w:rPr>
        <w:t>级</w:t>
      </w:r>
      <w:r>
        <w:rPr>
          <w:rFonts w:hint="eastAsia" w:ascii="仿宋_GB2312" w:hAnsi="仿宋_GB2312" w:eastAsia="仿宋_GB2312" w:cs="仿宋_GB2312"/>
          <w:kern w:val="0"/>
          <w:sz w:val="32"/>
          <w:szCs w:val="32"/>
        </w:rPr>
        <w:t>有审批职责权限的部门要依法依规办理相关手续，不得以任何理由拒绝受理业务申请。</w:t>
      </w:r>
    </w:p>
    <w:p>
      <w:pPr>
        <w:spacing w:line="550" w:lineRule="exact"/>
        <w:ind w:firstLine="640"/>
        <w:rPr>
          <w:rFonts w:hint="eastAsia" w:ascii="黑体" w:hAnsi="黑体" w:eastAsia="黑体" w:cs="黑体"/>
          <w:kern w:val="0"/>
          <w:sz w:val="32"/>
          <w:szCs w:val="32"/>
        </w:rPr>
      </w:pPr>
      <w:r>
        <w:rPr>
          <w:rFonts w:hint="eastAsia" w:ascii="黑体" w:hAnsi="黑体" w:eastAsia="黑体" w:cs="黑体"/>
          <w:kern w:val="0"/>
          <w:sz w:val="32"/>
          <w:szCs w:val="32"/>
        </w:rPr>
        <w:t>二、工作要求</w:t>
      </w:r>
    </w:p>
    <w:p>
      <w:pPr>
        <w:spacing w:line="550" w:lineRule="exact"/>
        <w:ind w:firstLine="64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（一）妥善做好事项衔接、承接工作。</w:t>
      </w:r>
    </w:p>
    <w:p>
      <w:pPr>
        <w:spacing w:line="55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直有关部门单位要</w:t>
      </w:r>
      <w:r>
        <w:rPr>
          <w:rFonts w:hint="eastAsia" w:ascii="仿宋_GB2312" w:hAnsi="仿宋_GB2312" w:eastAsia="仿宋_GB2312" w:cs="仿宋_GB2312"/>
          <w:kern w:val="0"/>
          <w:sz w:val="32"/>
          <w:szCs w:val="32"/>
          <w:lang w:eastAsia="zh-CN"/>
        </w:rPr>
        <w:t>积极与上级沟通对接，积极参加市级组织的业务</w:t>
      </w:r>
      <w:r>
        <w:rPr>
          <w:rFonts w:hint="eastAsia" w:ascii="仿宋_GB2312" w:hAnsi="仿宋_GB2312" w:eastAsia="仿宋_GB2312" w:cs="仿宋_GB2312"/>
          <w:kern w:val="0"/>
          <w:sz w:val="32"/>
          <w:szCs w:val="32"/>
        </w:rPr>
        <w:t>培训，及时</w:t>
      </w:r>
      <w:r>
        <w:rPr>
          <w:rFonts w:hint="eastAsia" w:ascii="仿宋_GB2312" w:hAnsi="仿宋_GB2312" w:eastAsia="仿宋_GB2312" w:cs="仿宋_GB2312"/>
          <w:kern w:val="0"/>
          <w:sz w:val="32"/>
          <w:szCs w:val="32"/>
          <w:lang w:eastAsia="zh-CN"/>
        </w:rPr>
        <w:t>承接市级部门转交的</w:t>
      </w:r>
      <w:r>
        <w:rPr>
          <w:rFonts w:hint="eastAsia" w:ascii="仿宋_GB2312" w:hAnsi="仿宋_GB2312" w:eastAsia="仿宋_GB2312" w:cs="仿宋_GB2312"/>
          <w:kern w:val="0"/>
          <w:sz w:val="32"/>
          <w:szCs w:val="32"/>
        </w:rPr>
        <w:t>开展审批服务所需的各类文件、业务手册、服务指南、档案资料、证书等材料，</w:t>
      </w:r>
      <w:r>
        <w:rPr>
          <w:rFonts w:hint="eastAsia" w:ascii="仿宋_GB2312" w:hAnsi="仿宋_GB2312" w:eastAsia="仿宋_GB2312" w:cs="仿宋_GB2312"/>
          <w:kern w:val="0"/>
          <w:sz w:val="32"/>
          <w:szCs w:val="32"/>
          <w:lang w:eastAsia="zh-CN"/>
        </w:rPr>
        <w:t>进一步</w:t>
      </w:r>
      <w:r>
        <w:rPr>
          <w:rFonts w:hint="eastAsia" w:ascii="仿宋_GB2312" w:hAnsi="仿宋_GB2312" w:eastAsia="仿宋_GB2312" w:cs="仿宋_GB2312"/>
          <w:kern w:val="0"/>
          <w:sz w:val="32"/>
          <w:szCs w:val="32"/>
        </w:rPr>
        <w:t>优化审批服务、再造工作流程，提高办理质量和效率，</w:t>
      </w:r>
      <w:r>
        <w:rPr>
          <w:rFonts w:hint="eastAsia" w:ascii="仿宋_GB2312" w:hAnsi="仿宋_GB2312" w:eastAsia="仿宋_GB2312" w:cs="仿宋_GB2312"/>
          <w:kern w:val="0"/>
          <w:sz w:val="32"/>
          <w:szCs w:val="32"/>
          <w:lang w:eastAsia="zh-CN"/>
        </w:rPr>
        <w:t>有效</w:t>
      </w:r>
      <w:r>
        <w:rPr>
          <w:rFonts w:hint="eastAsia" w:ascii="仿宋_GB2312" w:hAnsi="仿宋_GB2312" w:eastAsia="仿宋_GB2312" w:cs="仿宋_GB2312"/>
          <w:kern w:val="0"/>
          <w:sz w:val="32"/>
          <w:szCs w:val="32"/>
        </w:rPr>
        <w:t>解决衔接、承接落实过程中遇到的问题，确保8月</w:t>
      </w:r>
      <w:r>
        <w:rPr>
          <w:rFonts w:hint="eastAsia" w:ascii="仿宋_GB2312" w:hAnsi="仿宋_GB2312" w:eastAsia="仿宋_GB2312" w:cs="仿宋_GB2312"/>
          <w:kern w:val="0"/>
          <w:sz w:val="32"/>
          <w:szCs w:val="32"/>
          <w:lang w:val="en-US" w:eastAsia="zh-CN"/>
        </w:rPr>
        <w:t>29</w:t>
      </w:r>
      <w:r>
        <w:rPr>
          <w:rFonts w:hint="eastAsia" w:ascii="仿宋_GB2312" w:hAnsi="仿宋_GB2312" w:eastAsia="仿宋_GB2312" w:cs="仿宋_GB2312"/>
          <w:kern w:val="0"/>
          <w:sz w:val="32"/>
          <w:szCs w:val="32"/>
        </w:rPr>
        <w:t>日前将调整事项全部</w:t>
      </w:r>
      <w:r>
        <w:rPr>
          <w:rFonts w:hint="eastAsia" w:ascii="仿宋_GB2312" w:hAnsi="仿宋_GB2312" w:eastAsia="仿宋_GB2312" w:cs="仿宋_GB2312"/>
          <w:kern w:val="0"/>
          <w:sz w:val="32"/>
          <w:szCs w:val="32"/>
          <w:lang w:eastAsia="zh-CN"/>
        </w:rPr>
        <w:t>承接</w:t>
      </w:r>
      <w:r>
        <w:rPr>
          <w:rFonts w:hint="eastAsia" w:ascii="仿宋_GB2312" w:hAnsi="仿宋_GB2312" w:eastAsia="仿宋_GB2312" w:cs="仿宋_GB2312"/>
          <w:kern w:val="0"/>
          <w:sz w:val="32"/>
          <w:szCs w:val="32"/>
        </w:rPr>
        <w:t>落实到位。对委托实施的事项，要及时</w:t>
      </w:r>
      <w:r>
        <w:rPr>
          <w:rFonts w:hint="eastAsia" w:ascii="仿宋_GB2312" w:hAnsi="仿宋_GB2312" w:eastAsia="仿宋_GB2312" w:cs="仿宋_GB2312"/>
          <w:kern w:val="0"/>
          <w:sz w:val="32"/>
          <w:szCs w:val="32"/>
          <w:lang w:eastAsia="zh-CN"/>
        </w:rPr>
        <w:t>配合市级部门</w:t>
      </w:r>
      <w:r>
        <w:rPr>
          <w:rFonts w:hint="eastAsia" w:ascii="仿宋_GB2312" w:hAnsi="仿宋_GB2312" w:eastAsia="仿宋_GB2312" w:cs="仿宋_GB2312"/>
          <w:kern w:val="0"/>
          <w:sz w:val="32"/>
          <w:szCs w:val="32"/>
        </w:rPr>
        <w:t>签订委托协议；对下放实质性审核权和服务窗口前移的事项，要加强业务协同，建立相应的审核转报机制，避免出现工作脱节、缺位。</w:t>
      </w:r>
    </w:p>
    <w:p>
      <w:pPr>
        <w:spacing w:line="550" w:lineRule="exact"/>
        <w:ind w:firstLine="640"/>
        <w:rPr>
          <w:rFonts w:hint="eastAsia" w:ascii="文星仿宋" w:hAnsi="文星仿宋" w:eastAsia="文星仿宋" w:cs="宋体"/>
          <w:kern w:val="0"/>
          <w:sz w:val="32"/>
          <w:szCs w:val="32"/>
        </w:rPr>
      </w:pPr>
      <w:r>
        <w:rPr>
          <w:rFonts w:hint="eastAsia" w:ascii="仿宋_GB2312" w:hAnsi="仿宋_GB2312" w:eastAsia="仿宋_GB2312" w:cs="仿宋_GB2312"/>
          <w:kern w:val="0"/>
          <w:sz w:val="32"/>
          <w:szCs w:val="32"/>
        </w:rPr>
        <w:t>各</w:t>
      </w:r>
      <w:r>
        <w:rPr>
          <w:rFonts w:hint="eastAsia" w:ascii="仿宋_GB2312" w:hAnsi="仿宋_GB2312" w:eastAsia="仿宋_GB2312" w:cs="仿宋_GB2312"/>
          <w:kern w:val="0"/>
          <w:sz w:val="32"/>
          <w:szCs w:val="32"/>
          <w:lang w:eastAsia="zh-CN"/>
        </w:rPr>
        <w:t>有关部门单位</w:t>
      </w:r>
      <w:r>
        <w:rPr>
          <w:rFonts w:hint="eastAsia" w:ascii="仿宋_GB2312" w:hAnsi="仿宋_GB2312" w:eastAsia="仿宋_GB2312" w:cs="仿宋_GB2312"/>
          <w:kern w:val="0"/>
          <w:sz w:val="32"/>
          <w:szCs w:val="32"/>
        </w:rPr>
        <w:t>要加强组织领导，研究制定衔接落实方案，细化配套措施，完善审批信息系统，配齐配强工作力量，抓好调整事项的衔接、承接落实工作。对下放的“一链办理”关联事项，要加强业务整合，确保企业和群众按办“一件事”的标准实现“一次办好”。要合理确定需划转至行政审批服务部门行使的“市县同权”事项。对不能划转的，要按照“三集中三到位”要求，做好事项、人员进驻政务服务中心工作，做到“大厅之外无审批”。要及时做好更新公示，对直接下放的行政许可事项，各</w:t>
      </w:r>
      <w:r>
        <w:rPr>
          <w:rFonts w:hint="eastAsia" w:ascii="仿宋_GB2312" w:hAnsi="仿宋_GB2312" w:eastAsia="仿宋_GB2312" w:cs="仿宋_GB2312"/>
          <w:kern w:val="0"/>
          <w:sz w:val="32"/>
          <w:szCs w:val="32"/>
          <w:lang w:eastAsia="zh-CN"/>
        </w:rPr>
        <w:t>有关部门单位</w:t>
      </w:r>
      <w:r>
        <w:rPr>
          <w:rFonts w:hint="eastAsia" w:ascii="仿宋_GB2312" w:hAnsi="仿宋_GB2312" w:eastAsia="仿宋_GB2312" w:cs="仿宋_GB2312"/>
          <w:kern w:val="0"/>
          <w:sz w:val="32"/>
          <w:szCs w:val="32"/>
        </w:rPr>
        <w:t>要在权责清单管理系统及时更新，并在山东政务服务网予以公开，主动接受社会监督。</w:t>
      </w:r>
    </w:p>
    <w:p>
      <w:pPr>
        <w:spacing w:line="550" w:lineRule="exact"/>
        <w:ind w:firstLine="640"/>
        <w:rPr>
          <w:rFonts w:hint="eastAsia" w:ascii="文星仿宋" w:hAnsi="文星仿宋" w:eastAsia="文星仿宋" w:cs="宋体"/>
          <w:kern w:val="0"/>
          <w:sz w:val="32"/>
          <w:szCs w:val="32"/>
        </w:rPr>
      </w:pPr>
      <w:r>
        <w:rPr>
          <w:rFonts w:hint="eastAsia" w:ascii="楷体_GB2312" w:hAnsi="楷体_GB2312" w:eastAsia="楷体_GB2312" w:cs="楷体_GB2312"/>
          <w:kern w:val="0"/>
          <w:sz w:val="32"/>
          <w:szCs w:val="32"/>
        </w:rPr>
        <w:t>（二）加强审管联动。</w:t>
      </w:r>
      <w:r>
        <w:rPr>
          <w:rFonts w:hint="eastAsia" w:ascii="仿宋_GB2312" w:hAnsi="仿宋_GB2312" w:eastAsia="仿宋_GB2312" w:cs="仿宋_GB2312"/>
          <w:kern w:val="0"/>
          <w:sz w:val="32"/>
          <w:szCs w:val="32"/>
        </w:rPr>
        <w:t>各</w:t>
      </w:r>
      <w:r>
        <w:rPr>
          <w:rFonts w:hint="eastAsia" w:ascii="仿宋_GB2312" w:hAnsi="仿宋_GB2312" w:eastAsia="仿宋_GB2312" w:cs="仿宋_GB2312"/>
          <w:kern w:val="0"/>
          <w:sz w:val="32"/>
          <w:szCs w:val="32"/>
          <w:lang w:eastAsia="zh-CN"/>
        </w:rPr>
        <w:t>有关部门单位</w:t>
      </w:r>
      <w:r>
        <w:rPr>
          <w:rFonts w:hint="eastAsia" w:ascii="仿宋_GB2312" w:hAnsi="仿宋_GB2312" w:eastAsia="仿宋_GB2312" w:cs="仿宋_GB2312"/>
          <w:kern w:val="0"/>
          <w:sz w:val="32"/>
          <w:szCs w:val="32"/>
        </w:rPr>
        <w:t>要按照“一窗受理·一次办好”改革有关要求，对“市县同权”事项深入实施流程再造，精简审批环节，压缩审批时限，推动行政审批服务提速增效。相关行业主管部门要根据监管工作实际，科学确定执法监管责任体系，编制事中事后监管细则，明确监管层级、监管部门、监管方式，完善监管规则和标准，着力构建相互协作、齐抓共管的高效监管机制。各</w:t>
      </w:r>
      <w:r>
        <w:rPr>
          <w:rFonts w:hint="eastAsia" w:ascii="仿宋_GB2312" w:hAnsi="仿宋_GB2312" w:eastAsia="仿宋_GB2312" w:cs="仿宋_GB2312"/>
          <w:kern w:val="0"/>
          <w:sz w:val="32"/>
          <w:szCs w:val="32"/>
          <w:lang w:eastAsia="zh-CN"/>
        </w:rPr>
        <w:t>有关</w:t>
      </w:r>
      <w:r>
        <w:rPr>
          <w:rFonts w:hint="eastAsia" w:ascii="仿宋_GB2312" w:hAnsi="仿宋_GB2312" w:eastAsia="仿宋_GB2312" w:cs="仿宋_GB2312"/>
          <w:kern w:val="0"/>
          <w:sz w:val="32"/>
          <w:szCs w:val="32"/>
        </w:rPr>
        <w:t>部门</w:t>
      </w:r>
      <w:r>
        <w:rPr>
          <w:rFonts w:hint="eastAsia" w:ascii="仿宋_GB2312" w:hAnsi="仿宋_GB2312" w:eastAsia="仿宋_GB2312" w:cs="仿宋_GB2312"/>
          <w:kern w:val="0"/>
          <w:sz w:val="32"/>
          <w:szCs w:val="32"/>
          <w:lang w:eastAsia="zh-CN"/>
        </w:rPr>
        <w:t>单位</w:t>
      </w:r>
      <w:r>
        <w:rPr>
          <w:rFonts w:hint="eastAsia" w:ascii="仿宋_GB2312" w:hAnsi="仿宋_GB2312" w:eastAsia="仿宋_GB2312" w:cs="仿宋_GB2312"/>
          <w:kern w:val="0"/>
          <w:sz w:val="32"/>
          <w:szCs w:val="32"/>
        </w:rPr>
        <w:t>要严格按照“谁审批谁负责、谁主管谁监管”的原则，依法履行对相关事项的事中事后监督管理职责，对行政许可事项和其他依申请行政权力事项，逐项编制业务手册、服务指南、事中事后监管细则，切实提升监管效能。要强化审管联动，对由行政审批服务局承接的调整事项，各有关部门要依法界定行政审批服务局、行业主管部门及相关执法机构之间的职责关系，逐项理顺职责分工，厘清职责边界，编制职责边界清单。</w:t>
      </w:r>
    </w:p>
    <w:p>
      <w:pPr>
        <w:spacing w:line="550" w:lineRule="exact"/>
        <w:ind w:firstLine="640"/>
        <w:rPr>
          <w:rFonts w:hint="eastAsia" w:ascii="仿宋_GB2312" w:hAnsi="仿宋_GB2312" w:eastAsia="仿宋_GB2312" w:cs="仿宋_GB2312"/>
          <w:kern w:val="0"/>
          <w:sz w:val="32"/>
          <w:szCs w:val="32"/>
        </w:rPr>
      </w:pPr>
      <w:r>
        <w:rPr>
          <w:rFonts w:hint="eastAsia" w:ascii="楷体_GB2312" w:hAnsi="楷体_GB2312" w:eastAsia="楷体_GB2312" w:cs="楷体_GB2312"/>
          <w:kern w:val="0"/>
          <w:sz w:val="32"/>
          <w:szCs w:val="32"/>
        </w:rPr>
        <w:t>（三）强化评估检查。</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政府办公室要加强督导检查，定期评估“市县同权”事项运行情况，确保“市县同权”改革任务落实到位。各</w:t>
      </w:r>
      <w:r>
        <w:rPr>
          <w:rFonts w:hint="eastAsia" w:ascii="仿宋_GB2312" w:hAnsi="仿宋_GB2312" w:eastAsia="仿宋_GB2312" w:cs="仿宋_GB2312"/>
          <w:kern w:val="0"/>
          <w:sz w:val="32"/>
          <w:szCs w:val="32"/>
          <w:lang w:eastAsia="zh-CN"/>
        </w:rPr>
        <w:t>有关部门单位</w:t>
      </w:r>
      <w:r>
        <w:rPr>
          <w:rFonts w:hint="eastAsia" w:ascii="仿宋_GB2312" w:hAnsi="仿宋_GB2312" w:eastAsia="仿宋_GB2312" w:cs="仿宋_GB2312"/>
          <w:kern w:val="0"/>
          <w:sz w:val="32"/>
          <w:szCs w:val="32"/>
        </w:rPr>
        <w:t>要将衔接、承接落实情况（加盖单位公章后扫描成Pdf格式）及委托协议书（扫描件）、业务手册、服务指南、事中事后监管细则，于2021年8月</w:t>
      </w:r>
      <w:r>
        <w:rPr>
          <w:rFonts w:hint="eastAsia" w:ascii="仿宋_GB2312" w:hAnsi="仿宋_GB2312" w:eastAsia="仿宋_GB2312" w:cs="仿宋_GB2312"/>
          <w:kern w:val="0"/>
          <w:sz w:val="32"/>
          <w:szCs w:val="32"/>
          <w:lang w:val="en-US" w:eastAsia="zh-CN"/>
        </w:rPr>
        <w:t>26</w:t>
      </w:r>
      <w:r>
        <w:rPr>
          <w:rFonts w:hint="eastAsia" w:ascii="仿宋_GB2312" w:hAnsi="仿宋_GB2312" w:eastAsia="仿宋_GB2312" w:cs="仿宋_GB2312"/>
          <w:kern w:val="0"/>
          <w:sz w:val="32"/>
          <w:szCs w:val="32"/>
        </w:rPr>
        <w:t>日</w:t>
      </w:r>
      <w:r>
        <w:rPr>
          <w:rFonts w:hint="eastAsia" w:ascii="仿宋_GB2312" w:hAnsi="仿宋_GB2312" w:eastAsia="仿宋_GB2312" w:cs="仿宋_GB2312"/>
          <w:kern w:val="0"/>
          <w:sz w:val="32"/>
          <w:szCs w:val="32"/>
          <w:lang w:eastAsia="zh-CN"/>
        </w:rPr>
        <w:t>下</w:t>
      </w:r>
      <w:r>
        <w:rPr>
          <w:rFonts w:hint="eastAsia" w:ascii="仿宋_GB2312" w:hAnsi="仿宋_GB2312" w:eastAsia="仿宋_GB2312" w:cs="仿宋_GB2312"/>
          <w:kern w:val="0"/>
          <w:sz w:val="32"/>
          <w:szCs w:val="32"/>
        </w:rPr>
        <w:t>午</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0前通过协同办公系统报送</w:t>
      </w:r>
      <w:r>
        <w:rPr>
          <w:rFonts w:hint="eastAsia" w:ascii="仿宋_GB2312" w:hAnsi="仿宋_GB2312" w:eastAsia="仿宋_GB2312" w:cs="仿宋_GB2312"/>
          <w:kern w:val="0"/>
          <w:sz w:val="32"/>
          <w:szCs w:val="32"/>
          <w:lang w:eastAsia="zh-CN"/>
        </w:rPr>
        <w:t>县营转办</w:t>
      </w:r>
      <w:r>
        <w:rPr>
          <w:rFonts w:hint="eastAsia" w:ascii="仿宋_GB2312" w:hAnsi="仿宋_GB2312" w:eastAsia="仿宋_GB2312" w:cs="仿宋_GB2312"/>
          <w:kern w:val="0"/>
          <w:sz w:val="32"/>
          <w:szCs w:val="32"/>
        </w:rPr>
        <w:t>。</w:t>
      </w:r>
    </w:p>
    <w:p>
      <w:pPr>
        <w:spacing w:line="550" w:lineRule="exact"/>
        <w:ind w:firstLine="640"/>
        <w:rPr>
          <w:rFonts w:hint="eastAsia" w:ascii="仿宋_GB2312" w:hAnsi="仿宋_GB2312" w:eastAsia="仿宋_GB2312" w:cs="仿宋_GB2312"/>
          <w:kern w:val="0"/>
          <w:sz w:val="32"/>
          <w:szCs w:val="32"/>
        </w:rPr>
      </w:pPr>
    </w:p>
    <w:p>
      <w:pPr>
        <w:shd w:val="clear" w:color="auto" w:fill="FFFFFF"/>
        <w:spacing w:line="55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附件：1．调整由县级实施的行政权力事项（</w:t>
      </w:r>
      <w:r>
        <w:rPr>
          <w:rFonts w:hint="eastAsia" w:ascii="仿宋_GB2312" w:hAnsi="仿宋_GB2312" w:eastAsia="仿宋_GB2312" w:cs="仿宋_GB2312"/>
          <w:color w:val="000000"/>
          <w:sz w:val="32"/>
          <w:szCs w:val="32"/>
          <w:lang w:val="en-US" w:eastAsia="zh-CN"/>
        </w:rPr>
        <w:t>24</w:t>
      </w:r>
      <w:r>
        <w:rPr>
          <w:rFonts w:hint="eastAsia" w:ascii="仿宋_GB2312" w:hAnsi="仿宋_GB2312" w:eastAsia="仿宋_GB2312" w:cs="仿宋_GB2312"/>
          <w:color w:val="000000"/>
          <w:sz w:val="32"/>
          <w:szCs w:val="32"/>
        </w:rPr>
        <w:t>项）</w:t>
      </w:r>
    </w:p>
    <w:p>
      <w:pPr>
        <w:shd w:val="clear" w:color="auto" w:fill="FFFFFF"/>
        <w:spacing w:line="550" w:lineRule="exact"/>
        <w:ind w:firstLine="1600" w:firstLineChars="5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．“一链办理”一并下放的关联事项（10项）</w:t>
      </w:r>
    </w:p>
    <w:p>
      <w:pPr>
        <w:shd w:val="clear" w:color="auto" w:fill="FFFFFF"/>
        <w:spacing w:line="550" w:lineRule="exact"/>
        <w:ind w:left="2076" w:leftChars="760" w:hanging="480" w:hangingChars="15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．调整实施范围和实施方式的行政权力事项（1</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项）</w:t>
      </w:r>
    </w:p>
    <w:p>
      <w:pPr>
        <w:shd w:val="clear" w:color="auto" w:fill="FFFFFF"/>
        <w:spacing w:line="550" w:lineRule="exact"/>
        <w:ind w:left="2076" w:leftChars="760" w:hanging="480" w:hangingChars="150"/>
        <w:rPr>
          <w:rFonts w:hint="eastAsia" w:ascii="仿宋_GB2312" w:hAnsi="仿宋_GB2312" w:eastAsia="仿宋_GB2312" w:cs="仿宋_GB2312"/>
          <w:color w:val="000000"/>
          <w:sz w:val="32"/>
          <w:szCs w:val="32"/>
        </w:rPr>
      </w:pPr>
    </w:p>
    <w:p>
      <w:pPr>
        <w:shd w:val="clear" w:color="auto" w:fill="FFFFFF"/>
        <w:spacing w:line="550" w:lineRule="exact"/>
        <w:ind w:left="2076" w:leftChars="760" w:hanging="480" w:hangingChars="150"/>
        <w:rPr>
          <w:rFonts w:hint="eastAsia" w:ascii="仿宋_GB2312" w:hAnsi="仿宋_GB2312" w:eastAsia="仿宋_GB2312" w:cs="仿宋_GB2312"/>
          <w:color w:val="000000"/>
          <w:sz w:val="32"/>
          <w:szCs w:val="32"/>
        </w:rPr>
      </w:pPr>
    </w:p>
    <w:p>
      <w:pPr>
        <w:spacing w:line="55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t>郯城县</w:t>
      </w:r>
      <w:r>
        <w:rPr>
          <w:rFonts w:hint="eastAsia" w:ascii="仿宋_GB2312" w:hAnsi="仿宋_GB2312" w:eastAsia="仿宋_GB2312" w:cs="仿宋_GB2312"/>
          <w:kern w:val="0"/>
          <w:sz w:val="32"/>
          <w:szCs w:val="32"/>
        </w:rPr>
        <w:t xml:space="preserve">人民政府     </w:t>
      </w:r>
    </w:p>
    <w:p>
      <w:pPr>
        <w:spacing w:line="55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2021年</w:t>
      </w:r>
      <w:r>
        <w:rPr>
          <w:rFonts w:hint="eastAsia" w:ascii="仿宋_GB2312" w:hAnsi="仿宋_GB2312" w:eastAsia="仿宋_GB2312" w:cs="仿宋_GB2312"/>
          <w:kern w:val="0"/>
          <w:sz w:val="32"/>
          <w:szCs w:val="32"/>
          <w:lang w:val="en-US" w:eastAsia="zh-CN"/>
        </w:rPr>
        <w:t>8</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 xml:space="preserve">日 </w:t>
      </w:r>
    </w:p>
    <w:p>
      <w:pPr>
        <w:spacing w:line="55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pPr>
        <w:spacing w:line="550" w:lineRule="exact"/>
        <w:ind w:firstLine="640" w:firstLineChars="200"/>
        <w:rPr>
          <w:rFonts w:hint="eastAsia" w:ascii="仿宋_GB2312" w:hAnsi="仿宋_GB2312" w:eastAsia="仿宋_GB2312" w:cs="仿宋_GB2312"/>
          <w:sz w:val="32"/>
        </w:rPr>
        <w:sectPr>
          <w:pgSz w:w="11906" w:h="16838"/>
          <w:pgMar w:top="1797" w:right="1440" w:bottom="1797" w:left="1440" w:header="851" w:footer="992" w:gutter="0"/>
          <w:pgNumType w:fmt="decimal"/>
          <w:cols w:space="720" w:num="1"/>
          <w:docGrid w:type="lines" w:linePitch="634" w:charSpace="0"/>
        </w:sectPr>
      </w:pPr>
      <w:r>
        <w:rPr>
          <w:rFonts w:hint="eastAsia" w:ascii="仿宋_GB2312" w:hAnsi="仿宋_GB2312" w:eastAsia="仿宋_GB2312" w:cs="仿宋_GB2312"/>
          <w:kern w:val="0"/>
          <w:sz w:val="32"/>
          <w:szCs w:val="32"/>
        </w:rPr>
        <w:t>（此件公开发布）</w:t>
      </w:r>
    </w:p>
    <w:p>
      <w:pPr>
        <w:rPr>
          <w:sz w:val="32"/>
          <w:szCs w:val="32"/>
        </w:rPr>
      </w:pPr>
      <w:r>
        <w:rPr>
          <w:rFonts w:hint="eastAsia" w:ascii="黑体" w:hAnsi="黑体" w:eastAsia="黑体"/>
          <w:color w:val="000000"/>
          <w:sz w:val="32"/>
          <w:szCs w:val="32"/>
        </w:rPr>
        <w:t>附件1</w:t>
      </w:r>
    </w:p>
    <w:p>
      <w:pPr>
        <w:jc w:val="center"/>
        <w:rPr>
          <w:rFonts w:ascii="方正小标宋简体" w:eastAsia="方正小标宋简体"/>
          <w:sz w:val="44"/>
          <w:szCs w:val="44"/>
        </w:rPr>
      </w:pPr>
      <w:r>
        <w:rPr>
          <w:rFonts w:hint="eastAsia" w:ascii="方正小标宋简体" w:eastAsia="方正小标宋简体"/>
          <w:sz w:val="44"/>
          <w:szCs w:val="44"/>
        </w:rPr>
        <w:t>调整由县级实施的行政权力事项</w:t>
      </w:r>
    </w:p>
    <w:p>
      <w:pPr>
        <w:jc w:val="center"/>
        <w:rPr>
          <w:rFonts w:hint="eastAsia" w:ascii="方正小标宋简体" w:eastAsia="方正小标宋简体"/>
          <w:sz w:val="44"/>
          <w:szCs w:val="44"/>
        </w:rPr>
      </w:pPr>
    </w:p>
    <w:tbl>
      <w:tblPr>
        <w:tblStyle w:val="10"/>
        <w:tblW w:w="0" w:type="auto"/>
        <w:jc w:val="center"/>
        <w:tblLayout w:type="fixed"/>
        <w:tblCellMar>
          <w:top w:w="0" w:type="dxa"/>
          <w:left w:w="108" w:type="dxa"/>
          <w:bottom w:w="0" w:type="dxa"/>
          <w:right w:w="108" w:type="dxa"/>
        </w:tblCellMar>
      </w:tblPr>
      <w:tblGrid>
        <w:gridCol w:w="497"/>
        <w:gridCol w:w="945"/>
        <w:gridCol w:w="1811"/>
        <w:gridCol w:w="1519"/>
        <w:gridCol w:w="1560"/>
        <w:gridCol w:w="1620"/>
        <w:gridCol w:w="1740"/>
        <w:gridCol w:w="1751"/>
        <w:gridCol w:w="3296"/>
      </w:tblGrid>
      <w:tr>
        <w:tblPrEx>
          <w:tblCellMar>
            <w:top w:w="0" w:type="dxa"/>
            <w:left w:w="108" w:type="dxa"/>
            <w:bottom w:w="0" w:type="dxa"/>
            <w:right w:w="108" w:type="dxa"/>
          </w:tblCellMar>
        </w:tblPrEx>
        <w:trPr>
          <w:trHeight w:val="1029"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945" w:type="dxa"/>
            <w:tcBorders>
              <w:top w:val="single" w:color="auto" w:sz="4" w:space="0"/>
              <w:left w:val="single" w:color="auto" w:sz="4" w:space="0"/>
              <w:bottom w:val="single" w:color="auto" w:sz="6" w:space="0"/>
              <w:right w:val="single" w:color="auto" w:sz="4"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市级实施部门</w:t>
            </w:r>
          </w:p>
        </w:tc>
        <w:tc>
          <w:tcPr>
            <w:tcW w:w="1811"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事项名称</w:t>
            </w:r>
          </w:p>
        </w:tc>
        <w:tc>
          <w:tcPr>
            <w:tcW w:w="1519"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事项编码</w:t>
            </w:r>
          </w:p>
        </w:tc>
        <w:tc>
          <w:tcPr>
            <w:tcW w:w="156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事项类型</w:t>
            </w:r>
          </w:p>
        </w:tc>
        <w:tc>
          <w:tcPr>
            <w:tcW w:w="162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调整方式</w:t>
            </w:r>
          </w:p>
        </w:tc>
        <w:tc>
          <w:tcPr>
            <w:tcW w:w="174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承接单位</w:t>
            </w:r>
          </w:p>
        </w:tc>
        <w:tc>
          <w:tcPr>
            <w:tcW w:w="1751"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事中事后监管办法制定单位</w:t>
            </w:r>
          </w:p>
        </w:tc>
        <w:tc>
          <w:tcPr>
            <w:tcW w:w="3296"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备注</w:t>
            </w:r>
          </w:p>
        </w:tc>
      </w:tr>
      <w:tr>
        <w:tblPrEx>
          <w:tblCellMar>
            <w:top w:w="0" w:type="dxa"/>
            <w:left w:w="108" w:type="dxa"/>
            <w:bottom w:w="0" w:type="dxa"/>
            <w:right w:w="108" w:type="dxa"/>
          </w:tblCellMar>
        </w:tblPrEx>
        <w:trPr>
          <w:trHeight w:val="1114"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945" w:type="dxa"/>
            <w:vMerge w:val="restart"/>
            <w:tcBorders>
              <w:top w:val="single" w:color="auto" w:sz="4" w:space="0"/>
              <w:left w:val="single" w:color="auto" w:sz="4" w:space="0"/>
              <w:bottom w:val="single" w:color="auto" w:sz="6"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临沂市行政审批服务局</w:t>
            </w:r>
            <w:r>
              <w:rPr>
                <w:rFonts w:hint="eastAsia" w:ascii="仿宋_GB2312" w:hAnsi="仿宋_GB2312" w:eastAsia="仿宋_GB2312" w:cs="仿宋_GB2312"/>
                <w:bCs/>
                <w:color w:val="000000"/>
                <w:sz w:val="24"/>
                <w:szCs w:val="24"/>
                <w:lang w:val="en-US" w:eastAsia="zh-CN"/>
              </w:rPr>
              <w:t>市农业农村局</w:t>
            </w:r>
          </w:p>
        </w:tc>
        <w:tc>
          <w:tcPr>
            <w:tcW w:w="1811"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放射性物品道路运输许可</w:t>
            </w:r>
          </w:p>
        </w:tc>
        <w:tc>
          <w:tcPr>
            <w:tcW w:w="1519"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3700000118016</w:t>
            </w:r>
          </w:p>
        </w:tc>
        <w:tc>
          <w:tcPr>
            <w:tcW w:w="156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服务窗口前移</w:t>
            </w:r>
          </w:p>
        </w:tc>
        <w:tc>
          <w:tcPr>
            <w:tcW w:w="174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县公安局</w:t>
            </w:r>
          </w:p>
        </w:tc>
        <w:tc>
          <w:tcPr>
            <w:tcW w:w="1751"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县公安局</w:t>
            </w:r>
          </w:p>
        </w:tc>
        <w:tc>
          <w:tcPr>
            <w:tcW w:w="3296"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both"/>
              <w:rPr>
                <w:rFonts w:hint="eastAsia" w:ascii="仿宋_GB2312" w:hAnsi="仿宋_GB2312" w:eastAsia="仿宋_GB2312" w:cs="仿宋_GB2312"/>
                <w:color w:val="000000"/>
                <w:sz w:val="24"/>
                <w:szCs w:val="24"/>
                <w:lang w:val="en-US" w:eastAsia="zh-CN"/>
              </w:rPr>
            </w:pPr>
          </w:p>
        </w:tc>
      </w:tr>
      <w:tr>
        <w:tblPrEx>
          <w:tblCellMar>
            <w:top w:w="0" w:type="dxa"/>
            <w:left w:w="108" w:type="dxa"/>
            <w:bottom w:w="0" w:type="dxa"/>
            <w:right w:w="108" w:type="dxa"/>
          </w:tblCellMar>
        </w:tblPrEx>
        <w:trPr>
          <w:trHeight w:val="1362"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94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第三类医疗器械经营许可</w:t>
            </w:r>
          </w:p>
        </w:tc>
        <w:tc>
          <w:tcPr>
            <w:tcW w:w="1519"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3700000172022</w:t>
            </w:r>
          </w:p>
        </w:tc>
        <w:tc>
          <w:tcPr>
            <w:tcW w:w="156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74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751"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lang w:val="en-US" w:eastAsia="zh-CN"/>
              </w:rPr>
              <w:t>市场监管局</w:t>
            </w:r>
          </w:p>
        </w:tc>
        <w:tc>
          <w:tcPr>
            <w:tcW w:w="3296"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both"/>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880"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94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第一类医疗器械产品备案</w:t>
            </w:r>
          </w:p>
        </w:tc>
        <w:tc>
          <w:tcPr>
            <w:tcW w:w="151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3700001072039</w:t>
            </w:r>
          </w:p>
        </w:tc>
        <w:tc>
          <w:tcPr>
            <w:tcW w:w="15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74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7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lang w:val="en-US" w:eastAsia="zh-CN"/>
              </w:rPr>
              <w:t>市场监管局</w:t>
            </w:r>
          </w:p>
        </w:tc>
        <w:tc>
          <w:tcPr>
            <w:tcW w:w="329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both"/>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1108"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94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第一类医疗器械生产备案</w:t>
            </w:r>
          </w:p>
        </w:tc>
        <w:tc>
          <w:tcPr>
            <w:tcW w:w="151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3700001072040</w:t>
            </w:r>
          </w:p>
        </w:tc>
        <w:tc>
          <w:tcPr>
            <w:tcW w:w="15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74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7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lang w:val="en-US" w:eastAsia="zh-CN"/>
              </w:rPr>
              <w:t>市场监管局</w:t>
            </w:r>
          </w:p>
        </w:tc>
        <w:tc>
          <w:tcPr>
            <w:tcW w:w="329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both"/>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94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第二类医疗器械经营备案</w:t>
            </w:r>
          </w:p>
        </w:tc>
        <w:tc>
          <w:tcPr>
            <w:tcW w:w="151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3700001072043</w:t>
            </w:r>
          </w:p>
        </w:tc>
        <w:tc>
          <w:tcPr>
            <w:tcW w:w="15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74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7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lang w:val="en-US" w:eastAsia="zh-CN"/>
              </w:rPr>
              <w:t>市场监管局</w:t>
            </w:r>
          </w:p>
        </w:tc>
        <w:tc>
          <w:tcPr>
            <w:tcW w:w="329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both"/>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6</w:t>
            </w:r>
          </w:p>
        </w:tc>
        <w:tc>
          <w:tcPr>
            <w:tcW w:w="94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bCs/>
                <w:color w:val="000000"/>
                <w:kern w:val="2"/>
                <w:sz w:val="24"/>
                <w:szCs w:val="24"/>
                <w:lang w:val="en-US" w:eastAsia="zh-CN" w:bidi="ar-SA"/>
              </w:rPr>
            </w:pPr>
            <w:r>
              <w:rPr>
                <w:rFonts w:hint="eastAsia" w:ascii="仿宋_GB2312" w:hAnsi="仿宋_GB2312" w:eastAsia="仿宋_GB2312" w:cs="仿宋_GB2312"/>
                <w:bCs/>
                <w:color w:val="000000"/>
                <w:sz w:val="24"/>
                <w:szCs w:val="24"/>
              </w:rPr>
              <w:t>临沂市行政审批服务局、临沂市自然资源和规划局</w:t>
            </w:r>
          </w:p>
        </w:tc>
        <w:tc>
          <w:tcPr>
            <w:tcW w:w="181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开采矿产资源审批</w:t>
            </w:r>
          </w:p>
        </w:tc>
        <w:tc>
          <w:tcPr>
            <w:tcW w:w="151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3700000115069</w:t>
            </w:r>
          </w:p>
        </w:tc>
        <w:tc>
          <w:tcPr>
            <w:tcW w:w="15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下放实质性审核权</w:t>
            </w:r>
          </w:p>
        </w:tc>
        <w:tc>
          <w:tcPr>
            <w:tcW w:w="174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自然资源和规划局</w:t>
            </w:r>
          </w:p>
        </w:tc>
        <w:tc>
          <w:tcPr>
            <w:tcW w:w="17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自然资源和规划局</w:t>
            </w:r>
          </w:p>
        </w:tc>
        <w:tc>
          <w:tcPr>
            <w:tcW w:w="329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市行政审批服务局下放的权限：（1）《山东省实施〈中华人民共和国矿产资源法〉办法》第十一条规定以外可供开采的矿产储量规模为小型的矿产资源；（2）矿区范围跨县级行政区域的矿产资源；（3）省地质矿产主管部门授权审批登记的矿产资源；（4）34个矿种以外的中型矿床划定矿区范围批准、采矿权新设登记、采矿权延续审批、采矿权变更 (扩大矿区范围)审批、采矿权变更（缩小矿区范围) 审批、采矿权变更 (开采方式)审批、采矿权变更 (采矿权人名称)审批、采矿权注销审批。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2.市自然资源和规划局下放的权限：地热、矿泉水和34个矿种以外的大型矿床划定矿区范围批准、采矿权新设登记、采矿权延续审批、采矿权变更 (扩大矿区范围)审批、采矿权变更（缩小矿区范围) 审批、采矿权变更 (开采方式)审批、采矿权变更 (采矿权人名称)审批、采矿权注销审批。</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7</w:t>
            </w:r>
          </w:p>
        </w:tc>
        <w:tc>
          <w:tcPr>
            <w:tcW w:w="94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临沂市交通运输局</w:t>
            </w:r>
          </w:p>
          <w:p>
            <w:pPr>
              <w:jc w:val="center"/>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公路、水运工程质量监督申请登记</w:t>
            </w:r>
          </w:p>
        </w:tc>
        <w:tc>
          <w:tcPr>
            <w:tcW w:w="151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3700000718002</w:t>
            </w:r>
          </w:p>
        </w:tc>
        <w:tc>
          <w:tcPr>
            <w:tcW w:w="15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行政确认</w:t>
            </w:r>
          </w:p>
        </w:tc>
        <w:tc>
          <w:tcPr>
            <w:tcW w:w="162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p>
        </w:tc>
        <w:tc>
          <w:tcPr>
            <w:tcW w:w="329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1.下放的权限：（1）县、区行政区域内农村公路建设工程和养护工程的质量监督申请登记；（2）市级及以下水运工程的质量监督申请登记。</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2.市级保留的权限：除跨设区的市以外的高速公路，普通国省道新(改、扩)建、养护工程的质量监督申请登记。（涉及跨县区事宜）</w:t>
            </w:r>
          </w:p>
        </w:tc>
      </w:tr>
      <w:tr>
        <w:tblPrEx>
          <w:tblCellMar>
            <w:top w:w="0" w:type="dxa"/>
            <w:left w:w="108" w:type="dxa"/>
            <w:bottom w:w="0" w:type="dxa"/>
            <w:right w:w="108" w:type="dxa"/>
          </w:tblCellMar>
        </w:tblPrEx>
        <w:trPr>
          <w:trHeight w:val="3835"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8</w:t>
            </w:r>
          </w:p>
        </w:tc>
        <w:tc>
          <w:tcPr>
            <w:tcW w:w="94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公路、水运工程质量交工核验</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3700000718003</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行政确认</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1.下放的权限：（1）县、区行政区域内农村公路建设工程和养护工程的质量交工核验；（2）市级及以下水运工程的质量交工核验。</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2.市级保留的权限：除跨设区的市以外的高速公路，普通国省道新(改、扩)建、养护工程的质量交工核验。（涉及跨县区事宜）</w:t>
            </w:r>
          </w:p>
        </w:tc>
      </w:tr>
      <w:tr>
        <w:tblPrEx>
          <w:tblCellMar>
            <w:top w:w="0" w:type="dxa"/>
            <w:left w:w="108" w:type="dxa"/>
            <w:bottom w:w="0" w:type="dxa"/>
            <w:right w:w="108" w:type="dxa"/>
          </w:tblCellMar>
        </w:tblPrEx>
        <w:trPr>
          <w:trHeight w:val="403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9</w:t>
            </w:r>
          </w:p>
        </w:tc>
        <w:tc>
          <w:tcPr>
            <w:tcW w:w="94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公路、水运工程质量竣工鉴定</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3700000718004</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行政确认</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1.下放的权限：（1）县、区行政区域内农村公路建设工程和养护工程的质量竣工鉴定；（2）市级及以下水运工程的质量竣工鉴定。</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2.市级保留的权限：除跨设区的市以外的高速公路，普通国省道新(改、扩)建、养护工程的质量竣工鉴定。（涉及跨县区事宜）</w:t>
            </w:r>
          </w:p>
        </w:tc>
      </w:tr>
      <w:tr>
        <w:tblPrEx>
          <w:tblCellMar>
            <w:top w:w="0" w:type="dxa"/>
            <w:left w:w="108" w:type="dxa"/>
            <w:bottom w:w="0" w:type="dxa"/>
            <w:right w:w="108" w:type="dxa"/>
          </w:tblCellMar>
        </w:tblPrEx>
        <w:trPr>
          <w:trHeight w:val="2955"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10</w:t>
            </w:r>
          </w:p>
        </w:tc>
        <w:tc>
          <w:tcPr>
            <w:tcW w:w="945" w:type="dxa"/>
            <w:vMerge w:val="restart"/>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bCs/>
                <w:color w:val="000000"/>
                <w:kern w:val="2"/>
                <w:sz w:val="24"/>
                <w:szCs w:val="24"/>
                <w:lang w:val="en-US" w:eastAsia="zh-CN" w:bidi="ar-SA"/>
              </w:rPr>
            </w:pPr>
            <w:r>
              <w:rPr>
                <w:rFonts w:hint="eastAsia" w:ascii="仿宋_GB2312" w:hAnsi="仿宋_GB2312" w:eastAsia="仿宋_GB2312" w:cs="仿宋_GB2312"/>
                <w:bCs/>
                <w:color w:val="000000"/>
                <w:sz w:val="24"/>
                <w:szCs w:val="24"/>
              </w:rPr>
              <w:t>临沂市交通运输局</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公路、水运工程竣工验收</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3700001018001</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1.下放的权限：（1）县、区行政区域内农村公路建设工程和养护工程的竣工验收；（2）市级及以下水运工程的竣工验收。</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2.市级保留的权限：除跨设区的市以外的高速公路，普通国省道新(改、扩)建、养护工程的竣工验收。（涉及跨县区事宜）</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11</w:t>
            </w:r>
          </w:p>
        </w:tc>
        <w:tc>
          <w:tcPr>
            <w:tcW w:w="945" w:type="dxa"/>
            <w:vMerge w:val="continue"/>
            <w:tcBorders>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公路水运工程工地试验室备案</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3700001018002</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1.下放的权限：(1)县、区行政区域内农村公路建设工程和养护工程的工地试验室备案；(2)市级及以下水运工程的工地试验室备案。</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2.市级保留的权限：除跨设区的市以外的高速公路，普通国省道新(改、扩)建、养护工程的工地试验室备案。（涉及跨县区事宜）</w:t>
            </w:r>
          </w:p>
        </w:tc>
      </w:tr>
      <w:tr>
        <w:tblPrEx>
          <w:tblCellMar>
            <w:top w:w="0" w:type="dxa"/>
            <w:left w:w="108" w:type="dxa"/>
            <w:bottom w:w="0" w:type="dxa"/>
            <w:right w:w="108" w:type="dxa"/>
          </w:tblCellMar>
        </w:tblPrEx>
        <w:trPr>
          <w:trHeight w:val="254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12</w:t>
            </w:r>
          </w:p>
        </w:tc>
        <w:tc>
          <w:tcPr>
            <w:tcW w:w="945" w:type="dxa"/>
            <w:vMerge w:val="continue"/>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color w:val="000000"/>
                <w:sz w:val="24"/>
                <w:szCs w:val="24"/>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公路水运工程安全生产条件备案</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3700001018003</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1.下放的权限：（1）县、区行政区域内农村公路建设工程和养护工程的安全生产条件备案；（2）市级及以下水运工程的安全生产条件备案。</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2.市级保留的权限：除跨设区的市以外的高速公路，普通国省道新(改、扩)建、养护工程的安全生产条件备案。（涉及跨县区事宜）</w:t>
            </w:r>
          </w:p>
        </w:tc>
      </w:tr>
      <w:tr>
        <w:tblPrEx>
          <w:tblCellMar>
            <w:top w:w="0" w:type="dxa"/>
            <w:left w:w="108" w:type="dxa"/>
            <w:bottom w:w="0" w:type="dxa"/>
            <w:right w:w="108" w:type="dxa"/>
          </w:tblCellMar>
        </w:tblPrEx>
        <w:trPr>
          <w:trHeight w:val="3355"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13</w:t>
            </w: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Cs/>
                <w:color w:val="000000"/>
                <w:kern w:val="2"/>
                <w:sz w:val="24"/>
                <w:szCs w:val="24"/>
                <w:lang w:val="en-US" w:eastAsia="zh-CN" w:bidi="ar-SA"/>
              </w:rPr>
            </w:pPr>
            <w:r>
              <w:rPr>
                <w:rFonts w:hint="eastAsia" w:ascii="仿宋_GB2312" w:hAnsi="仿宋_GB2312" w:eastAsia="仿宋_GB2312" w:cs="仿宋_GB2312"/>
                <w:bCs/>
                <w:color w:val="000000"/>
                <w:sz w:val="24"/>
                <w:szCs w:val="24"/>
              </w:rPr>
              <w:t>临沂市交通运输局</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组织或参与处理有关公路水运工程事故调查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3700001018004</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1.下放的权限：（1）县、区行政区域内农村公路建设工程和养护工程的组织或参与处理有关工程事故调查；（2）市级及以下水运工程的组织或参与处理有关工程事故调查。</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2.市级保留的权限：除跨设区的市以外的高速公路，普通国省道新(改、扩)建、养护工程的组织或参与处理有关工程事故调查。（涉及跨县区事宜）</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14</w:t>
            </w:r>
          </w:p>
        </w:tc>
        <w:tc>
          <w:tcPr>
            <w:tcW w:w="945" w:type="dxa"/>
            <w:vMerge w:val="restart"/>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Cs/>
                <w:color w:val="000000"/>
                <w:sz w:val="24"/>
                <w:szCs w:val="24"/>
              </w:rPr>
              <w:t>临沂市农业农村局</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农药使用事故处理</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3700001020026</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农业农村局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农业农村局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依法依规调查处理农药使用事故。</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15</w:t>
            </w:r>
          </w:p>
        </w:tc>
        <w:tc>
          <w:tcPr>
            <w:tcW w:w="945" w:type="dxa"/>
            <w:vMerge w:val="continue"/>
            <w:tcBorders>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农作物病虫害专业化统防统治管理</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3700001020037</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农业农村局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农业农村局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提供必要的病虫害发生、防治等信息服务。监督指导县级农业植物保护机构开展专业化统防统治管理工作。</w:t>
            </w:r>
          </w:p>
        </w:tc>
      </w:tr>
      <w:tr>
        <w:tblPrEx>
          <w:tblCellMar>
            <w:top w:w="0" w:type="dxa"/>
            <w:left w:w="108" w:type="dxa"/>
            <w:bottom w:w="0" w:type="dxa"/>
            <w:right w:w="108" w:type="dxa"/>
          </w:tblCellMar>
        </w:tblPrEx>
        <w:trPr>
          <w:trHeight w:val="1021"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16</w:t>
            </w:r>
          </w:p>
        </w:tc>
        <w:tc>
          <w:tcPr>
            <w:tcW w:w="945" w:type="dxa"/>
            <w:vMerge w:val="restart"/>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临沂市应急管理局</w:t>
            </w:r>
          </w:p>
          <w:p>
            <w:pPr>
              <w:jc w:val="center"/>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非煤矿矿山建设项目安全设施设计审查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370125005001</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　</w:t>
            </w:r>
          </w:p>
        </w:tc>
      </w:tr>
      <w:tr>
        <w:tblPrEx>
          <w:tblCellMar>
            <w:top w:w="0" w:type="dxa"/>
            <w:left w:w="108" w:type="dxa"/>
            <w:bottom w:w="0" w:type="dxa"/>
            <w:right w:w="108" w:type="dxa"/>
          </w:tblCellMar>
        </w:tblPrEx>
        <w:trPr>
          <w:trHeight w:val="1001"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17</w:t>
            </w:r>
          </w:p>
        </w:tc>
        <w:tc>
          <w:tcPr>
            <w:tcW w:w="945" w:type="dxa"/>
            <w:vMerge w:val="continue"/>
            <w:tcBorders>
              <w:left w:val="single" w:color="auto" w:sz="4" w:space="0"/>
              <w:right w:val="single" w:color="auto" w:sz="4" w:space="0"/>
            </w:tcBorders>
            <w:noWrap w:val="0"/>
            <w:vAlign w:val="top"/>
          </w:tcPr>
          <w:p>
            <w:pPr>
              <w:widowControl/>
              <w:jc w:val="left"/>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金属冶炼建设项目安全设施设计审查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370125005002</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p>
        </w:tc>
      </w:tr>
      <w:tr>
        <w:tblPrEx>
          <w:tblCellMar>
            <w:top w:w="0" w:type="dxa"/>
            <w:left w:w="108" w:type="dxa"/>
            <w:bottom w:w="0" w:type="dxa"/>
            <w:right w:w="108" w:type="dxa"/>
          </w:tblCellMar>
        </w:tblPrEx>
        <w:trPr>
          <w:trHeight w:val="78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18</w:t>
            </w:r>
          </w:p>
        </w:tc>
        <w:tc>
          <w:tcPr>
            <w:tcW w:w="945" w:type="dxa"/>
            <w:vMerge w:val="continue"/>
            <w:tcBorders>
              <w:left w:val="single" w:color="auto" w:sz="4" w:space="0"/>
              <w:bottom w:val="single" w:color="auto" w:sz="4" w:space="0"/>
              <w:right w:val="single" w:color="auto" w:sz="4" w:space="0"/>
            </w:tcBorders>
            <w:noWrap w:val="0"/>
            <w:vAlign w:val="top"/>
          </w:tcPr>
          <w:p>
            <w:pPr>
              <w:widowControl/>
              <w:jc w:val="left"/>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烟花爆竹建设项目安全设施设计审查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370125005004</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w:t>
            </w: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临沂市应急管理局</w:t>
            </w:r>
          </w:p>
          <w:p>
            <w:pPr>
              <w:jc w:val="center"/>
              <w:rPr>
                <w:rFonts w:hint="eastAsia" w:ascii="仿宋_GB2312" w:hAnsi="仿宋_GB2312" w:eastAsia="仿宋_GB2312" w:cs="仿宋_GB2312"/>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新建、改建、扩建生产、储存危险化学品的建设项目安全条件审查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370125004000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除（1）涉及国家安全生产监督管理总局公布的重点监管危险化工工艺的；（2）涉及国家安全生产监督管理总局公布的重点监管危险化学品中的有毒气体、液化气体、易燃液体、爆炸品，且构成重大危险源的；（3）跨县（市、区）的危险化学品建设项目外</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20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bCs/>
                <w:color w:val="000000"/>
                <w:kern w:val="2"/>
                <w:sz w:val="24"/>
                <w:szCs w:val="24"/>
                <w:lang w:val="en-US" w:eastAsia="zh-CN" w:bidi="ar-SA"/>
              </w:rPr>
            </w:pPr>
          </w:p>
          <w:p>
            <w:pPr>
              <w:bidi w:val="0"/>
              <w:rPr>
                <w:rFonts w:hint="eastAsia"/>
                <w:kern w:val="2"/>
                <w:sz w:val="21"/>
                <w:szCs w:val="24"/>
                <w:lang w:val="en-US" w:eastAsia="zh-CN" w:bidi="ar-SA"/>
              </w:rPr>
            </w:pPr>
          </w:p>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临沂市应急管理局</w:t>
            </w:r>
          </w:p>
          <w:p>
            <w:pPr>
              <w:bidi w:val="0"/>
              <w:rPr>
                <w:rFonts w:hint="eastAsia"/>
                <w:lang w:val="en-US" w:eastAsia="zh-CN"/>
              </w:rPr>
            </w:pPr>
          </w:p>
          <w:p>
            <w:pPr>
              <w:bidi w:val="0"/>
              <w:ind w:firstLine="278" w:firstLineChars="0"/>
              <w:jc w:val="left"/>
              <w:rPr>
                <w:rFonts w:hint="eastAsia"/>
                <w:kern w:val="2"/>
                <w:sz w:val="21"/>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生产、储存危险化学品的建设项目安全设施设计审查</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370125005003</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除（1）涉及国家安全生产监督管理总局公布的重点监管危险化工工艺的；（2）涉及国家安全生产监督管理总局公布的重点监管危险化学品中的有毒气体、液化气体、易燃液体、爆炸品，且构成重大危险源的；（3）跨县（市、区）的危险化学品建设项目外</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21</w:t>
            </w:r>
          </w:p>
        </w:tc>
        <w:tc>
          <w:tcPr>
            <w:tcW w:w="945" w:type="dxa"/>
            <w:vMerge w:val="restart"/>
            <w:tcBorders>
              <w:top w:val="single" w:color="auto" w:sz="4" w:space="0"/>
              <w:left w:val="single" w:color="auto" w:sz="4" w:space="0"/>
              <w:right w:val="single" w:color="auto" w:sz="4" w:space="0"/>
            </w:tcBorders>
            <w:noWrap w:val="0"/>
            <w:vAlign w:val="center"/>
          </w:tcPr>
          <w:p>
            <w:pPr>
              <w:widowControl/>
              <w:jc w:val="left"/>
              <w:rPr>
                <w:rFonts w:hint="eastAsia" w:ascii="仿宋_GB2312" w:hAnsi="仿宋_GB2312" w:eastAsia="仿宋_GB2312" w:cs="仿宋_GB2312"/>
                <w:bCs/>
                <w:color w:val="000000"/>
                <w:kern w:val="2"/>
                <w:sz w:val="24"/>
                <w:szCs w:val="24"/>
                <w:lang w:val="en-US" w:eastAsia="zh-CN" w:bidi="ar-SA"/>
              </w:rPr>
            </w:pPr>
          </w:p>
          <w:p>
            <w:pPr>
              <w:bidi w:val="0"/>
              <w:rPr>
                <w:rFonts w:hint="eastAsia"/>
                <w:kern w:val="2"/>
                <w:sz w:val="21"/>
                <w:szCs w:val="24"/>
                <w:lang w:val="en-US" w:eastAsia="zh-CN" w:bidi="ar-SA"/>
              </w:rPr>
            </w:pPr>
          </w:p>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临沂市应急管理局</w:t>
            </w:r>
          </w:p>
          <w:p>
            <w:pPr>
              <w:bidi w:val="0"/>
              <w:rPr>
                <w:rFonts w:hint="eastAsia"/>
                <w:lang w:val="en-US" w:eastAsia="zh-CN"/>
              </w:rPr>
            </w:pPr>
          </w:p>
          <w:p>
            <w:pPr>
              <w:bidi w:val="0"/>
              <w:ind w:firstLine="278" w:firstLineChars="0"/>
              <w:jc w:val="left"/>
              <w:rPr>
                <w:rFonts w:hint="eastAsia"/>
                <w:lang w:val="en-US" w:eastAsia="zh-CN"/>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二类、三类非药品类易制毒化学品生产备案</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371025003001</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　</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22</w:t>
            </w:r>
          </w:p>
        </w:tc>
        <w:tc>
          <w:tcPr>
            <w:tcW w:w="945"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二类非药品类易制毒化学品经营备案</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371025003002</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　</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23</w:t>
            </w:r>
          </w:p>
        </w:tc>
        <w:tc>
          <w:tcPr>
            <w:tcW w:w="945" w:type="dxa"/>
            <w:vMerge w:val="continue"/>
            <w:tcBorders>
              <w:top w:val="single" w:color="auto" w:sz="4" w:space="0"/>
              <w:left w:val="single" w:color="auto" w:sz="4" w:space="0"/>
              <w:right w:val="single" w:color="auto" w:sz="4" w:space="0"/>
            </w:tcBorders>
            <w:noWrap w:val="0"/>
            <w:vAlign w:val="center"/>
          </w:tcPr>
          <w:p>
            <w:pPr>
              <w:widowControl/>
              <w:jc w:val="left"/>
              <w:rPr>
                <w:rFonts w:hint="eastAsia" w:ascii="仿宋_GB2312" w:hAnsi="仿宋_GB2312" w:eastAsia="仿宋_GB2312" w:cs="仿宋_GB2312"/>
                <w:bCs/>
                <w:color w:val="000000"/>
                <w:kern w:val="2"/>
                <w:sz w:val="24"/>
                <w:szCs w:val="24"/>
                <w:lang w:val="en-US" w:eastAsia="zh-CN" w:bidi="ar-SA"/>
              </w:rPr>
            </w:pP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生产经营单位生产安全事故应急预案备案</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371025001000</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其他行政权力</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委托实施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应急管理局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中央企业三级下属单位，省属企业二级下属单位及市管企业应急救援预案备案。</w:t>
            </w:r>
          </w:p>
        </w:tc>
      </w:tr>
      <w:tr>
        <w:tblPrEx>
          <w:tblCellMar>
            <w:top w:w="0" w:type="dxa"/>
            <w:left w:w="108" w:type="dxa"/>
            <w:bottom w:w="0" w:type="dxa"/>
            <w:right w:w="108" w:type="dxa"/>
          </w:tblCellMar>
        </w:tblPrEx>
        <w:trPr>
          <w:trHeight w:val="109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24</w:t>
            </w: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Cs/>
                <w:color w:val="000000"/>
                <w:sz w:val="24"/>
                <w:szCs w:val="24"/>
                <w:lang w:val="en-US" w:eastAsia="zh-CN"/>
              </w:rPr>
            </w:pPr>
            <w:r>
              <w:rPr>
                <w:rFonts w:hint="eastAsia" w:ascii="仿宋_GB2312" w:hAnsi="仿宋_GB2312" w:eastAsia="仿宋_GB2312" w:cs="仿宋_GB2312"/>
                <w:bCs/>
                <w:color w:val="000000"/>
                <w:sz w:val="24"/>
                <w:szCs w:val="24"/>
                <w:lang w:val="en-US" w:eastAsia="zh-CN"/>
              </w:rPr>
              <w:t>市农业农村局</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农业植物产地检疫</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 xml:space="preserve">3700000120066 </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行政许可</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直接下放</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行政审批服务局</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县农业农村局</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负责跨省和省内调运农业植物种子、苗木和其他繁殖材料，以及应施检疫的植物、植物产品的检疫许可。</w:t>
            </w:r>
          </w:p>
        </w:tc>
      </w:tr>
    </w:tbl>
    <w:p>
      <w:pPr>
        <w:rPr>
          <w:rFonts w:hint="eastAsia" w:ascii="黑体" w:hAnsi="黑体" w:eastAsia="黑体"/>
          <w:sz w:val="32"/>
          <w:szCs w:val="32"/>
        </w:rPr>
        <w:sectPr>
          <w:pgSz w:w="16838" w:h="11906" w:orient="landscape"/>
          <w:pgMar w:top="1587" w:right="1587" w:bottom="1587" w:left="1587" w:header="851" w:footer="992" w:gutter="0"/>
          <w:pgNumType w:fmt="decimal"/>
          <w:cols w:space="0" w:num="1"/>
          <w:rtlGutter w:val="0"/>
          <w:docGrid w:type="lines" w:linePitch="312" w:charSpace="0"/>
        </w:sectPr>
      </w:pPr>
    </w:p>
    <w:p>
      <w:pPr>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2</w:t>
      </w:r>
    </w:p>
    <w:p>
      <w:pPr>
        <w:jc w:val="center"/>
        <w:rPr>
          <w:rFonts w:hint="eastAsia" w:ascii="方正小标宋简体" w:eastAsia="方正小标宋简体"/>
          <w:sz w:val="48"/>
          <w:szCs w:val="48"/>
        </w:rPr>
      </w:pPr>
      <w:r>
        <w:rPr>
          <w:rFonts w:hint="eastAsia" w:ascii="方正小标宋简体" w:eastAsia="方正小标宋简体"/>
          <w:sz w:val="48"/>
          <w:szCs w:val="48"/>
        </w:rPr>
        <w:t>“一链办理”一并下放的关联事项</w:t>
      </w:r>
    </w:p>
    <w:tbl>
      <w:tblPr>
        <w:tblStyle w:val="10"/>
        <w:tblpPr w:leftFromText="180" w:rightFromText="180" w:vertAnchor="text" w:horzAnchor="margin" w:tblpXSpec="center" w:tblpY="394"/>
        <w:tblW w:w="0" w:type="auto"/>
        <w:tblInd w:w="0" w:type="dxa"/>
        <w:tblLayout w:type="fixed"/>
        <w:tblCellMar>
          <w:top w:w="0" w:type="dxa"/>
          <w:left w:w="108" w:type="dxa"/>
          <w:bottom w:w="0" w:type="dxa"/>
          <w:right w:w="108" w:type="dxa"/>
        </w:tblCellMar>
      </w:tblPr>
      <w:tblGrid>
        <w:gridCol w:w="584"/>
        <w:gridCol w:w="1200"/>
        <w:gridCol w:w="1245"/>
        <w:gridCol w:w="1950"/>
        <w:gridCol w:w="1125"/>
        <w:gridCol w:w="570"/>
        <w:gridCol w:w="1350"/>
        <w:gridCol w:w="1005"/>
        <w:gridCol w:w="1350"/>
        <w:gridCol w:w="4304"/>
      </w:tblGrid>
      <w:tr>
        <w:tblPrEx>
          <w:tblCellMar>
            <w:top w:w="0" w:type="dxa"/>
            <w:left w:w="108" w:type="dxa"/>
            <w:bottom w:w="0" w:type="dxa"/>
            <w:right w:w="108" w:type="dxa"/>
          </w:tblCellMar>
        </w:tblPrEx>
        <w:trPr>
          <w:trHeight w:val="1037" w:hRule="atLeast"/>
        </w:trPr>
        <w:tc>
          <w:tcPr>
            <w:tcW w:w="584"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120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市级实施部门</w:t>
            </w:r>
          </w:p>
        </w:tc>
        <w:tc>
          <w:tcPr>
            <w:tcW w:w="124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下放的行政权力事项名称</w:t>
            </w:r>
          </w:p>
        </w:tc>
        <w:tc>
          <w:tcPr>
            <w:tcW w:w="19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一并下放的关联事项名称</w:t>
            </w:r>
          </w:p>
        </w:tc>
        <w:tc>
          <w:tcPr>
            <w:tcW w:w="112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事项编码</w:t>
            </w:r>
          </w:p>
        </w:tc>
        <w:tc>
          <w:tcPr>
            <w:tcW w:w="57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事项类型</w:t>
            </w:r>
          </w:p>
        </w:tc>
        <w:tc>
          <w:tcPr>
            <w:tcW w:w="13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下放方式</w:t>
            </w:r>
          </w:p>
        </w:tc>
        <w:tc>
          <w:tcPr>
            <w:tcW w:w="100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jc w:val="center"/>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县级承接单位</w:t>
            </w:r>
          </w:p>
        </w:tc>
        <w:tc>
          <w:tcPr>
            <w:tcW w:w="1350"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事中事后监管办法起草单位</w:t>
            </w:r>
          </w:p>
        </w:tc>
        <w:tc>
          <w:tcPr>
            <w:tcW w:w="4304"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黑体" w:hAnsi="黑体" w:eastAsia="黑体"/>
                <w:color w:val="000000"/>
                <w:sz w:val="28"/>
                <w:szCs w:val="28"/>
              </w:rPr>
            </w:pPr>
            <w:r>
              <w:rPr>
                <w:rFonts w:hint="eastAsia" w:ascii="黑体" w:hAnsi="黑体" w:eastAsia="黑体"/>
                <w:color w:val="000000"/>
                <w:sz w:val="28"/>
                <w:szCs w:val="28"/>
              </w:rPr>
              <w:t>备注</w:t>
            </w:r>
          </w:p>
        </w:tc>
      </w:tr>
      <w:tr>
        <w:tblPrEx>
          <w:tblCellMar>
            <w:top w:w="0" w:type="dxa"/>
            <w:left w:w="108" w:type="dxa"/>
            <w:bottom w:w="0" w:type="dxa"/>
            <w:right w:w="108" w:type="dxa"/>
          </w:tblCellMar>
        </w:tblPrEx>
        <w:trPr>
          <w:trHeight w:val="799" w:hRule="atLeast"/>
        </w:trPr>
        <w:tc>
          <w:tcPr>
            <w:tcW w:w="58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1</w:t>
            </w:r>
          </w:p>
        </w:tc>
        <w:tc>
          <w:tcPr>
            <w:tcW w:w="120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临沂市行政审批服务局</w:t>
            </w:r>
          </w:p>
        </w:tc>
        <w:tc>
          <w:tcPr>
            <w:tcW w:w="124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防空地下室易地建设审批</w:t>
            </w:r>
          </w:p>
        </w:tc>
        <w:tc>
          <w:tcPr>
            <w:tcW w:w="1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新建民用建筑项目减免防空地下室易地建设费审查</w:t>
            </w:r>
          </w:p>
        </w:tc>
        <w:tc>
          <w:tcPr>
            <w:tcW w:w="112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3700001099010</w:t>
            </w:r>
          </w:p>
        </w:tc>
        <w:tc>
          <w:tcPr>
            <w:tcW w:w="57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00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县住建局</w:t>
            </w:r>
          </w:p>
        </w:tc>
        <w:tc>
          <w:tcPr>
            <w:tcW w:w="430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938" w:hRule="atLeast"/>
        </w:trPr>
        <w:tc>
          <w:tcPr>
            <w:tcW w:w="58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2</w:t>
            </w:r>
          </w:p>
        </w:tc>
        <w:tc>
          <w:tcPr>
            <w:tcW w:w="1200"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临沂市行政审批服务局、临沂市自然资源和规划局</w:t>
            </w:r>
          </w:p>
        </w:tc>
        <w:tc>
          <w:tcPr>
            <w:tcW w:w="124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开采矿产资源审批</w:t>
            </w:r>
          </w:p>
        </w:tc>
        <w:tc>
          <w:tcPr>
            <w:tcW w:w="1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矿业权抵押备案</w:t>
            </w:r>
          </w:p>
        </w:tc>
        <w:tc>
          <w:tcPr>
            <w:tcW w:w="112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3700001015005</w:t>
            </w:r>
          </w:p>
        </w:tc>
        <w:tc>
          <w:tcPr>
            <w:tcW w:w="57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00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县自然资源和规划局</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县自然资源和规划局</w:t>
            </w:r>
          </w:p>
        </w:tc>
        <w:tc>
          <w:tcPr>
            <w:tcW w:w="430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市行政审批服务局下放的权限：（1）《山东省实施〈中华人民共和国矿产资源法〉办法》第十一条规定以外可供开采的矿产储量规模为小型的矿产资源；（2）矿区范围跨县级行政区域的矿产资源；（3）省地质矿产主管部门授权审批登记的矿产资源；（4）34个矿种以外的中型矿床划定矿区范围批准、采矿权新设登记、采矿权延续审批、采矿权变更 (扩大矿区范围)审批、采矿权变更（缩小矿区范围) 审批、采矿权变更 (开采方式)审批、采矿权变更 (采矿权人名称)审批、采矿权注销审批。       </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2.市自然资源和规划局下放的权限：地热、矿泉水和34个矿种以外的大型矿床划定矿区范围批准、采矿权新设登记、采矿权延续审批、采矿权变更 (扩大矿区范围)审批、采矿权变更（缩小矿区范围) 审批、采矿权变更 (开采方式)审批、采矿权变更 (采矿权人名称)审批、采矿权注销审批。</w:t>
            </w:r>
          </w:p>
        </w:tc>
      </w:tr>
      <w:tr>
        <w:tblPrEx>
          <w:tblCellMar>
            <w:top w:w="0" w:type="dxa"/>
            <w:left w:w="108" w:type="dxa"/>
            <w:bottom w:w="0" w:type="dxa"/>
            <w:right w:w="108" w:type="dxa"/>
          </w:tblCellMar>
        </w:tblPrEx>
        <w:trPr>
          <w:trHeight w:val="646" w:hRule="atLeast"/>
        </w:trPr>
        <w:tc>
          <w:tcPr>
            <w:tcW w:w="584"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3</w:t>
            </w:r>
          </w:p>
        </w:tc>
        <w:tc>
          <w:tcPr>
            <w:tcW w:w="120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临沂市行政审批服务局、临沂市自然资源和规划局</w:t>
            </w:r>
          </w:p>
        </w:tc>
        <w:tc>
          <w:tcPr>
            <w:tcW w:w="124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开采矿产资源审批</w:t>
            </w:r>
          </w:p>
        </w:tc>
        <w:tc>
          <w:tcPr>
            <w:tcW w:w="19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矿山闭坑地质报告审批</w:t>
            </w:r>
          </w:p>
        </w:tc>
        <w:tc>
          <w:tcPr>
            <w:tcW w:w="112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3700000115021</w:t>
            </w:r>
          </w:p>
        </w:tc>
        <w:tc>
          <w:tcPr>
            <w:tcW w:w="57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下放实质性审核权</w:t>
            </w:r>
          </w:p>
        </w:tc>
        <w:tc>
          <w:tcPr>
            <w:tcW w:w="100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县自然资源和规划局</w:t>
            </w:r>
          </w:p>
        </w:tc>
        <w:tc>
          <w:tcPr>
            <w:tcW w:w="1350"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4"/>
                <w:szCs w:val="24"/>
                <w:lang w:val="en-US"/>
              </w:rPr>
            </w:pPr>
            <w:r>
              <w:rPr>
                <w:rFonts w:hint="eastAsia" w:ascii="仿宋_GB2312" w:hAnsi="仿宋_GB2312" w:eastAsia="仿宋_GB2312" w:cs="仿宋_GB2312"/>
                <w:color w:val="000000"/>
                <w:sz w:val="24"/>
                <w:szCs w:val="24"/>
                <w:lang w:val="en-US" w:eastAsia="zh-CN"/>
              </w:rPr>
              <w:t>县自然资源和规划局</w:t>
            </w:r>
          </w:p>
        </w:tc>
        <w:tc>
          <w:tcPr>
            <w:tcW w:w="4304"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市行政审批服务局下放的权限：（1）《山东省实施〈中华人民共和国矿产资源法〉办法》第十一条规定以外可供开采的矿产储量规模为小型的矿产资源；（2）矿区范围跨县级行政区域的矿产资源；（3）省地质矿产主管部门授权审批登记的矿产资源；（4）34个矿种以外的中型矿床划定矿区范围批准、采矿权新设登记、采矿权延续审批、采矿权变更 (扩大矿区范围)审批、采矿权变更（缩小矿区范围) 审批、采矿权变更 (开采方式)审批、采矿权变更 (采矿权人名称)审批、采矿权注销审批。       </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2.市自然资源和规划局下放的权限：地热、矿泉水和34个矿种以外的大型矿床划定矿区范围批准、采矿权新设登记、采矿权延续审批、采矿权变更 (扩大矿区范围)审批、采矿权变更（缩小矿区范围) 审批、采矿权变更 (开采方式)审批、采矿权变更 (采矿权人名称)审批、采矿权注销审批。</w:t>
            </w:r>
          </w:p>
        </w:tc>
      </w:tr>
      <w:tr>
        <w:tblPrEx>
          <w:tblCellMar>
            <w:top w:w="0" w:type="dxa"/>
            <w:left w:w="108" w:type="dxa"/>
            <w:bottom w:w="0" w:type="dxa"/>
            <w:right w:w="108" w:type="dxa"/>
          </w:tblCellMar>
        </w:tblPrEx>
        <w:trPr>
          <w:trHeight w:val="1959" w:hRule="atLeast"/>
        </w:trPr>
        <w:tc>
          <w:tcPr>
            <w:tcW w:w="58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4</w:t>
            </w:r>
          </w:p>
        </w:tc>
        <w:tc>
          <w:tcPr>
            <w:tcW w:w="1200"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临沂市交通运输局</w:t>
            </w:r>
          </w:p>
        </w:tc>
        <w:tc>
          <w:tcPr>
            <w:tcW w:w="1245"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公路、水运建设项目设计审批</w:t>
            </w:r>
          </w:p>
        </w:tc>
        <w:tc>
          <w:tcPr>
            <w:tcW w:w="19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公路、水运工程质量监督申请登记</w:t>
            </w:r>
          </w:p>
        </w:tc>
        <w:tc>
          <w:tcPr>
            <w:tcW w:w="112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3700000718002</w:t>
            </w:r>
          </w:p>
        </w:tc>
        <w:tc>
          <w:tcPr>
            <w:tcW w:w="57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行政确认</w:t>
            </w:r>
          </w:p>
        </w:tc>
        <w:tc>
          <w:tcPr>
            <w:tcW w:w="13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430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1.下放的权限：（1）县、区行政区域内农村公路建设工程和养护工程的质量监督申请登记；（2）市级及以下水运工程的质量监督申请登记。</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2.市级保留的权限：除跨设区的市以外的高速公路，普通国省道新(改、扩)建、养护工程的质量监督申请登记。（涉及跨县区事宜）</w:t>
            </w:r>
          </w:p>
        </w:tc>
      </w:tr>
      <w:tr>
        <w:tblPrEx>
          <w:tblCellMar>
            <w:top w:w="0" w:type="dxa"/>
            <w:left w:w="108" w:type="dxa"/>
            <w:bottom w:w="0" w:type="dxa"/>
            <w:right w:w="108" w:type="dxa"/>
          </w:tblCellMar>
        </w:tblPrEx>
        <w:trPr>
          <w:trHeight w:val="1857" w:hRule="atLeast"/>
        </w:trPr>
        <w:tc>
          <w:tcPr>
            <w:tcW w:w="58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5</w:t>
            </w:r>
          </w:p>
        </w:tc>
        <w:tc>
          <w:tcPr>
            <w:tcW w:w="1200"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24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公路、水运工程质量交工核验</w:t>
            </w:r>
          </w:p>
        </w:tc>
        <w:tc>
          <w:tcPr>
            <w:tcW w:w="112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3700000718003</w:t>
            </w:r>
          </w:p>
        </w:tc>
        <w:tc>
          <w:tcPr>
            <w:tcW w:w="57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行政确认</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430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1.下放的权限：（1）县、区行政区域内农村公路建设工程和养护工程的质量交工核验；（2）市级及以下水运工程的质量交工核验。</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2.市级保留的权限：除跨设区的市以外的高速公路，普通国省道新(改、扩)建、养护工程的质量交工核验。（涉及跨县区事宜）</w:t>
            </w:r>
          </w:p>
        </w:tc>
      </w:tr>
      <w:tr>
        <w:tblPrEx>
          <w:tblCellMar>
            <w:top w:w="0" w:type="dxa"/>
            <w:left w:w="108" w:type="dxa"/>
            <w:bottom w:w="0" w:type="dxa"/>
            <w:right w:w="108" w:type="dxa"/>
          </w:tblCellMar>
        </w:tblPrEx>
        <w:trPr>
          <w:trHeight w:val="1405" w:hRule="atLeast"/>
        </w:trPr>
        <w:tc>
          <w:tcPr>
            <w:tcW w:w="584"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6</w:t>
            </w:r>
          </w:p>
        </w:tc>
        <w:tc>
          <w:tcPr>
            <w:tcW w:w="1200" w:type="dxa"/>
            <w:vMerge w:val="restart"/>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临沂市交通运输局</w:t>
            </w:r>
          </w:p>
        </w:tc>
        <w:tc>
          <w:tcPr>
            <w:tcW w:w="1245" w:type="dxa"/>
            <w:vMerge w:val="restart"/>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公路、水运建设项目设计审批</w:t>
            </w:r>
          </w:p>
        </w:tc>
        <w:tc>
          <w:tcPr>
            <w:tcW w:w="19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公路、水运工程质量竣工鉴定</w:t>
            </w:r>
          </w:p>
        </w:tc>
        <w:tc>
          <w:tcPr>
            <w:tcW w:w="112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3700000718004</w:t>
            </w:r>
          </w:p>
        </w:tc>
        <w:tc>
          <w:tcPr>
            <w:tcW w:w="57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行政确认</w:t>
            </w:r>
          </w:p>
        </w:tc>
        <w:tc>
          <w:tcPr>
            <w:tcW w:w="13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4304"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1.下放的权限：（1）县、区行政区域内农村公路建设工程和养护工程的质量竣工鉴定；（2）市级及以下水运工程的质量竣工鉴定。</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2.市级保留的权限：除跨设区的市以外的高速公路，普通国省道新(改、扩)建、养护工程的质量竣工鉴定。（涉及跨县区事宜）</w:t>
            </w:r>
          </w:p>
        </w:tc>
      </w:tr>
      <w:tr>
        <w:tblPrEx>
          <w:tblCellMar>
            <w:top w:w="0" w:type="dxa"/>
            <w:left w:w="108" w:type="dxa"/>
            <w:bottom w:w="0" w:type="dxa"/>
            <w:right w:w="108" w:type="dxa"/>
          </w:tblCellMar>
        </w:tblPrEx>
        <w:trPr>
          <w:trHeight w:val="1508" w:hRule="atLeast"/>
        </w:trPr>
        <w:tc>
          <w:tcPr>
            <w:tcW w:w="584"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7</w:t>
            </w:r>
          </w:p>
        </w:tc>
        <w:tc>
          <w:tcPr>
            <w:tcW w:w="1200"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245"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9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公路、水运工程竣工验收</w:t>
            </w:r>
          </w:p>
        </w:tc>
        <w:tc>
          <w:tcPr>
            <w:tcW w:w="112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3700001018001</w:t>
            </w:r>
          </w:p>
        </w:tc>
        <w:tc>
          <w:tcPr>
            <w:tcW w:w="57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4304"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1.下放的权限：（1）县、区行政区域内农村公路建设工程和养护工程的竣工验收；（2）市级及以下水运工程的竣工验收。</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2.市级保留的权限：除跨设区的市以外的高速公路，普通国省道新(改、扩)建、养护工程的竣工验收。（涉及跨县区事宜）</w:t>
            </w:r>
          </w:p>
        </w:tc>
      </w:tr>
      <w:tr>
        <w:tblPrEx>
          <w:tblCellMar>
            <w:top w:w="0" w:type="dxa"/>
            <w:left w:w="108" w:type="dxa"/>
            <w:bottom w:w="0" w:type="dxa"/>
            <w:right w:w="108" w:type="dxa"/>
          </w:tblCellMar>
        </w:tblPrEx>
        <w:trPr>
          <w:trHeight w:val="1490" w:hRule="atLeast"/>
        </w:trPr>
        <w:tc>
          <w:tcPr>
            <w:tcW w:w="584" w:type="dxa"/>
            <w:tcBorders>
              <w:top w:val="nil"/>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8</w:t>
            </w:r>
          </w:p>
        </w:tc>
        <w:tc>
          <w:tcPr>
            <w:tcW w:w="1200"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245"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950" w:type="dxa"/>
            <w:tcBorders>
              <w:top w:val="nil"/>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公路水运工程工地试验室备案</w:t>
            </w:r>
          </w:p>
        </w:tc>
        <w:tc>
          <w:tcPr>
            <w:tcW w:w="112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3700001018002</w:t>
            </w:r>
          </w:p>
        </w:tc>
        <w:tc>
          <w:tcPr>
            <w:tcW w:w="57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430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1.下放的权限：（1）县、区行政区域内农村公路建设工程和养护工程的工地试验室备案；（2）市级及以下水运工程的工地试验室备案。</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2.市级保留的权限：除跨设区的市以外的高速公路，普通国省道新(改、扩)建、养护工程的工地试验室备案。（涉及跨县区事宜）</w:t>
            </w:r>
          </w:p>
        </w:tc>
      </w:tr>
      <w:tr>
        <w:tblPrEx>
          <w:tblCellMar>
            <w:top w:w="0" w:type="dxa"/>
            <w:left w:w="108" w:type="dxa"/>
            <w:bottom w:w="0" w:type="dxa"/>
            <w:right w:w="108" w:type="dxa"/>
          </w:tblCellMar>
        </w:tblPrEx>
        <w:trPr>
          <w:trHeight w:val="1514" w:hRule="atLeast"/>
        </w:trPr>
        <w:tc>
          <w:tcPr>
            <w:tcW w:w="584" w:type="dxa"/>
            <w:tcBorders>
              <w:top w:val="nil"/>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9</w:t>
            </w:r>
          </w:p>
        </w:tc>
        <w:tc>
          <w:tcPr>
            <w:tcW w:w="1200"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245"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950" w:type="dxa"/>
            <w:tcBorders>
              <w:top w:val="nil"/>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公路水运工程安全生产条件备案</w:t>
            </w:r>
          </w:p>
        </w:tc>
        <w:tc>
          <w:tcPr>
            <w:tcW w:w="112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3700001018003</w:t>
            </w:r>
          </w:p>
        </w:tc>
        <w:tc>
          <w:tcPr>
            <w:tcW w:w="57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430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1.下放的权限：（1）县、区行政区域内农村公路建设工程和养护工程的安全生产条件备案；（2）市级及以下水运工程的安全生产条件备案。</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2.市级保留的权限：除跨设区的市以外的高速公路，普通国省道新(改、扩)建、养护工程的安全生产条件备案。（涉及跨县区事宜）</w:t>
            </w:r>
          </w:p>
        </w:tc>
      </w:tr>
      <w:tr>
        <w:tblPrEx>
          <w:tblCellMar>
            <w:top w:w="0" w:type="dxa"/>
            <w:left w:w="108" w:type="dxa"/>
            <w:bottom w:w="0" w:type="dxa"/>
            <w:right w:w="108" w:type="dxa"/>
          </w:tblCellMar>
        </w:tblPrEx>
        <w:trPr>
          <w:trHeight w:val="1962" w:hRule="atLeast"/>
        </w:trPr>
        <w:tc>
          <w:tcPr>
            <w:tcW w:w="584" w:type="dxa"/>
            <w:tcBorders>
              <w:top w:val="single" w:color="auto" w:sz="4" w:space="0"/>
              <w:left w:val="single" w:color="auto" w:sz="4" w:space="0"/>
              <w:bottom w:val="single" w:color="auto" w:sz="4" w:space="0"/>
              <w:right w:val="single" w:color="auto" w:sz="6" w:space="0"/>
            </w:tcBorders>
            <w:noWrap w:val="0"/>
            <w:tcMar>
              <w:top w:w="15" w:type="dxa"/>
              <w:left w:w="15" w:type="dxa"/>
              <w:bottom w:w="0" w:type="dxa"/>
              <w:right w:w="15" w:type="dxa"/>
            </w:tcMar>
            <w:vAlign w:val="center"/>
          </w:tcPr>
          <w:p>
            <w:pPr>
              <w:jc w:val="center"/>
              <w:rPr>
                <w:rFonts w:ascii="文星仿宋" w:eastAsia="文星仿宋"/>
                <w:color w:val="000000"/>
                <w:sz w:val="24"/>
                <w:szCs w:val="24"/>
              </w:rPr>
            </w:pPr>
            <w:r>
              <w:rPr>
                <w:rFonts w:hint="eastAsia" w:ascii="文星仿宋" w:eastAsia="文星仿宋"/>
                <w:color w:val="000000"/>
                <w:sz w:val="24"/>
                <w:szCs w:val="24"/>
              </w:rPr>
              <w:t>10</w:t>
            </w:r>
          </w:p>
        </w:tc>
        <w:tc>
          <w:tcPr>
            <w:tcW w:w="1200"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245" w:type="dxa"/>
            <w:vMerge w:val="continue"/>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9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组织或参与处理有关公路水运工程事故调查</w:t>
            </w:r>
          </w:p>
        </w:tc>
        <w:tc>
          <w:tcPr>
            <w:tcW w:w="112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3700001018004</w:t>
            </w:r>
          </w:p>
        </w:tc>
        <w:tc>
          <w:tcPr>
            <w:tcW w:w="57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其他行政权力</w:t>
            </w:r>
          </w:p>
        </w:tc>
        <w:tc>
          <w:tcPr>
            <w:tcW w:w="1350"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直接下放</w:t>
            </w:r>
          </w:p>
        </w:tc>
        <w:tc>
          <w:tcPr>
            <w:tcW w:w="1005" w:type="dxa"/>
            <w:tcBorders>
              <w:top w:val="single" w:color="auto" w:sz="4" w:space="0"/>
              <w:left w:val="single" w:color="auto" w:sz="6" w:space="0"/>
              <w:bottom w:val="single" w:color="auto" w:sz="4" w:space="0"/>
              <w:right w:val="single" w:color="auto" w:sz="6"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350"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4304" w:type="dxa"/>
            <w:tcBorders>
              <w:top w:val="single" w:color="auto" w:sz="4" w:space="0"/>
              <w:left w:val="single" w:color="auto" w:sz="6"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1.下放的权限：（1）县、区行政区域内农村公路建设工程和养护工程的组织或参与处理有关工程事故调查；（2）市级及以下水运工程的组织或参与处理有关工程事故调查。</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2.市级保留的权限：除跨设区的市以外的高速公路，普通国省道新(改、扩)建、养护工程的组织或参与处理有关工程事故调查。（涉及跨县区事宜）</w:t>
            </w:r>
          </w:p>
        </w:tc>
      </w:tr>
    </w:tbl>
    <w:p>
      <w:pPr>
        <w:rPr>
          <w:rFonts w:hint="eastAsia" w:ascii="黑体" w:hAnsi="黑体" w:eastAsia="黑体"/>
          <w:color w:val="000000"/>
          <w:sz w:val="32"/>
          <w:szCs w:val="32"/>
        </w:rPr>
      </w:pPr>
    </w:p>
    <w:p>
      <w:pPr>
        <w:rPr>
          <w:rFonts w:hint="eastAsia" w:ascii="黑体" w:hAnsi="黑体" w:eastAsia="黑体"/>
          <w:color w:val="000000"/>
          <w:sz w:val="32"/>
          <w:szCs w:val="32"/>
        </w:rPr>
      </w:pPr>
    </w:p>
    <w:p>
      <w:pPr>
        <w:rPr>
          <w:rFonts w:hint="eastAsia" w:ascii="黑体" w:hAnsi="黑体" w:eastAsia="黑体"/>
          <w:color w:val="000000"/>
          <w:sz w:val="32"/>
          <w:szCs w:val="32"/>
        </w:rPr>
      </w:pPr>
    </w:p>
    <w:p>
      <w:pPr>
        <w:rPr>
          <w:rFonts w:hint="eastAsia" w:ascii="黑体" w:hAnsi="黑体" w:eastAsia="黑体"/>
          <w:color w:val="000000"/>
          <w:sz w:val="32"/>
          <w:szCs w:val="32"/>
        </w:rPr>
      </w:pPr>
    </w:p>
    <w:p>
      <w:pPr>
        <w:rPr>
          <w:rFonts w:hint="eastAsia" w:ascii="黑体" w:hAnsi="黑体" w:eastAsia="黑体"/>
          <w:color w:val="000000"/>
          <w:sz w:val="32"/>
          <w:szCs w:val="32"/>
        </w:rPr>
      </w:pPr>
    </w:p>
    <w:p>
      <w:pPr>
        <w:rPr>
          <w:rFonts w:hint="eastAsia" w:ascii="黑体" w:hAnsi="黑体" w:eastAsia="黑体"/>
          <w:color w:val="000000"/>
          <w:sz w:val="32"/>
          <w:szCs w:val="32"/>
        </w:rPr>
      </w:pPr>
    </w:p>
    <w:p>
      <w:pPr>
        <w:rPr>
          <w:rFonts w:hint="eastAsia" w:ascii="黑体" w:hAnsi="黑体" w:eastAsia="黑体"/>
          <w:color w:val="000000"/>
          <w:sz w:val="32"/>
          <w:szCs w:val="32"/>
        </w:rPr>
      </w:pPr>
    </w:p>
    <w:p>
      <w:pPr>
        <w:pStyle w:val="4"/>
        <w:rPr>
          <w:rFonts w:hint="eastAsia" w:ascii="黑体" w:hAnsi="黑体" w:eastAsia="黑体"/>
          <w:color w:val="000000"/>
          <w:sz w:val="32"/>
          <w:szCs w:val="32"/>
        </w:rPr>
      </w:pPr>
    </w:p>
    <w:p>
      <w:pPr>
        <w:rPr>
          <w:rFonts w:hint="eastAsia" w:ascii="黑体" w:hAnsi="黑体" w:eastAsia="黑体"/>
          <w:color w:val="000000"/>
          <w:sz w:val="32"/>
          <w:szCs w:val="32"/>
          <w:lang w:eastAsia="zh-CN"/>
        </w:rPr>
      </w:pPr>
      <w:r>
        <w:rPr>
          <w:rFonts w:hint="eastAsia" w:ascii="黑体" w:hAnsi="黑体" w:eastAsia="黑体"/>
          <w:color w:val="000000"/>
          <w:sz w:val="32"/>
          <w:szCs w:val="32"/>
        </w:rPr>
        <w:t>附件</w:t>
      </w:r>
      <w:r>
        <w:rPr>
          <w:rFonts w:hint="eastAsia" w:ascii="黑体" w:hAnsi="黑体" w:eastAsia="黑体"/>
          <w:color w:val="000000"/>
          <w:sz w:val="32"/>
          <w:szCs w:val="32"/>
          <w:lang w:val="en-US" w:eastAsia="zh-CN"/>
        </w:rPr>
        <w:t>3</w:t>
      </w:r>
    </w:p>
    <w:p>
      <w:pPr>
        <w:jc w:val="center"/>
        <w:rPr>
          <w:rFonts w:hint="eastAsia" w:ascii="方正小标宋简体" w:eastAsia="方正小标宋简体"/>
          <w:sz w:val="44"/>
          <w:szCs w:val="44"/>
        </w:rPr>
      </w:pPr>
      <w:r>
        <w:rPr>
          <w:rFonts w:hint="eastAsia" w:ascii="方正小标宋简体" w:eastAsia="方正小标宋简体"/>
          <w:sz w:val="44"/>
          <w:szCs w:val="44"/>
        </w:rPr>
        <w:t>调整实施范围和实施方式的行政权力事项</w:t>
      </w:r>
    </w:p>
    <w:p>
      <w:pPr>
        <w:rPr>
          <w:rFonts w:hint="eastAsia" w:ascii="方正小标宋简体" w:eastAsia="方正小标宋简体"/>
          <w:sz w:val="44"/>
          <w:szCs w:val="44"/>
        </w:rPr>
      </w:pPr>
    </w:p>
    <w:tbl>
      <w:tblPr>
        <w:tblStyle w:val="10"/>
        <w:tblW w:w="0" w:type="auto"/>
        <w:tblInd w:w="-74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2"/>
        <w:gridCol w:w="1531"/>
        <w:gridCol w:w="2710"/>
        <w:gridCol w:w="1886"/>
        <w:gridCol w:w="1718"/>
        <w:gridCol w:w="2633"/>
        <w:gridCol w:w="1035"/>
        <w:gridCol w:w="1425"/>
        <w:gridCol w:w="12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8" w:hRule="atLeast"/>
        </w:trPr>
        <w:tc>
          <w:tcPr>
            <w:tcW w:w="802" w:type="dxa"/>
            <w:tcBorders>
              <w:top w:val="single" w:color="auto" w:sz="4" w:space="0"/>
              <w:left w:val="single" w:color="auto" w:sz="4"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1531" w:type="dxa"/>
            <w:tcBorders>
              <w:top w:val="single" w:color="auto" w:sz="4" w:space="0"/>
              <w:left w:val="single" w:color="auto" w:sz="6"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单位名称</w:t>
            </w:r>
          </w:p>
        </w:tc>
        <w:tc>
          <w:tcPr>
            <w:tcW w:w="2710" w:type="dxa"/>
            <w:tcBorders>
              <w:top w:val="single" w:color="auto" w:sz="4" w:space="0"/>
              <w:left w:val="single" w:color="auto" w:sz="6"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事项名称</w:t>
            </w:r>
          </w:p>
        </w:tc>
        <w:tc>
          <w:tcPr>
            <w:tcW w:w="1886" w:type="dxa"/>
            <w:tcBorders>
              <w:top w:val="single" w:color="auto" w:sz="4" w:space="0"/>
              <w:left w:val="single" w:color="auto" w:sz="6"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事项编码</w:t>
            </w:r>
          </w:p>
        </w:tc>
        <w:tc>
          <w:tcPr>
            <w:tcW w:w="1718" w:type="dxa"/>
            <w:tcBorders>
              <w:top w:val="single" w:color="auto" w:sz="4" w:space="0"/>
              <w:left w:val="single" w:color="auto" w:sz="6"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事项类型</w:t>
            </w:r>
          </w:p>
        </w:tc>
        <w:tc>
          <w:tcPr>
            <w:tcW w:w="2633" w:type="dxa"/>
            <w:tcBorders>
              <w:top w:val="single" w:color="auto" w:sz="4" w:space="0"/>
              <w:left w:val="single" w:color="auto" w:sz="6" w:space="0"/>
              <w:bottom w:val="single" w:color="auto" w:sz="6" w:space="0"/>
              <w:right w:val="single" w:color="auto" w:sz="6"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调整方式</w:t>
            </w:r>
          </w:p>
        </w:tc>
        <w:tc>
          <w:tcPr>
            <w:tcW w:w="1035" w:type="dxa"/>
            <w:tcBorders>
              <w:top w:val="single" w:color="auto" w:sz="4" w:space="0"/>
              <w:left w:val="single" w:color="auto" w:sz="6" w:space="0"/>
              <w:bottom w:val="single" w:color="auto" w:sz="6" w:space="0"/>
              <w:right w:val="single" w:color="auto" w:sz="4" w:space="0"/>
            </w:tcBorders>
            <w:noWrap w:val="0"/>
            <w:vAlign w:val="center"/>
          </w:tcPr>
          <w:p>
            <w:pPr>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承接单位</w:t>
            </w:r>
          </w:p>
        </w:tc>
        <w:tc>
          <w:tcPr>
            <w:tcW w:w="1425" w:type="dxa"/>
            <w:tcBorders>
              <w:top w:val="single" w:color="auto" w:sz="4" w:space="0"/>
              <w:left w:val="single" w:color="auto" w:sz="6" w:space="0"/>
              <w:bottom w:val="single" w:color="auto" w:sz="6" w:space="0"/>
              <w:right w:val="single" w:color="auto" w:sz="4" w:space="0"/>
            </w:tcBorders>
            <w:noWrap w:val="0"/>
            <w:vAlign w:val="center"/>
          </w:tcPr>
          <w:p>
            <w:pPr>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事中事后监管办法制定单位</w:t>
            </w:r>
          </w:p>
        </w:tc>
        <w:tc>
          <w:tcPr>
            <w:tcW w:w="1230" w:type="dxa"/>
            <w:tcBorders>
              <w:top w:val="single" w:color="auto" w:sz="4" w:space="0"/>
              <w:left w:val="single" w:color="auto" w:sz="6" w:space="0"/>
              <w:bottom w:val="single" w:color="auto" w:sz="6" w:space="0"/>
              <w:right w:val="single" w:color="auto" w:sz="4" w:space="0"/>
            </w:tcBorders>
            <w:noWrap w:val="0"/>
            <w:vAlign w:val="center"/>
          </w:tcPr>
          <w:p>
            <w:pPr>
              <w:jc w:val="center"/>
              <w:rPr>
                <w:rFonts w:ascii="黑体" w:hAnsi="黑体" w:eastAsia="黑体"/>
                <w:color w:val="000000"/>
                <w:sz w:val="28"/>
                <w:szCs w:val="28"/>
              </w:rPr>
            </w:pPr>
            <w:r>
              <w:rPr>
                <w:rFonts w:hint="eastAsia" w:ascii="黑体" w:hAnsi="黑体" w:eastAsia="黑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4"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531"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临沂市行政审批服务局</w:t>
            </w: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房地产开发企业资质核定（暂定资质）</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3700000117051</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由服务窗口前移调整为下放实质性审核权</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县住房保障中心</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hint="eastAsia" w:ascii="文星仿宋" w:eastAsia="文星仿宋"/>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建筑业企业资质许可（除省级委托外）</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3700000117054</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由服务窗口前移调整为下放实质性审核权</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县住建局</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执业药师注册</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3700000172025</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由下放实质性审核权调整为直接下放</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市场监督管理局</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4</w:t>
            </w:r>
          </w:p>
        </w:tc>
        <w:tc>
          <w:tcPr>
            <w:tcW w:w="1531"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临沂市交通运输局</w:t>
            </w: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新增客船、危险品船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投入运营审批</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3700000118036</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由直接下放调整为下放实质性审核权</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5</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经营性道路客货运输驾驶员从业资格许可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3700000118019</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由服务窗口前移调整为下放实质性审核权</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6</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出租汽车驾驶员从业资格许可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3700000118020</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7</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道路危险货物运输从业人员从业资格许可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3700000118021</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3"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8</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放射性物品道路运输从业人员从业资格许可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3700000118022</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9"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9</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国内船舶管理业务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经营许可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3700000118023</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由直接下放调整为服务窗口前移</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交通运输局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23"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0</w:t>
            </w:r>
          </w:p>
        </w:tc>
        <w:tc>
          <w:tcPr>
            <w:tcW w:w="1531"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临沂市文化和旅游局</w:t>
            </w: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导游证核发</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3700000104701</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由直接下放调整为服务窗口前移</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15"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w:t>
            </w:r>
          </w:p>
        </w:tc>
        <w:tc>
          <w:tcPr>
            <w:tcW w:w="153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典当行、拍卖公司、文化市场、旧货市场、艺术品市场等单位或者场所经营尚未被认定为文物的监管物品的许可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3700000122018</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由直接下放调整为服务窗口前移</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jc w:val="left"/>
              <w:rPr>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5" w:hRule="atLeast"/>
        </w:trPr>
        <w:tc>
          <w:tcPr>
            <w:tcW w:w="802"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2</w:t>
            </w:r>
          </w:p>
        </w:tc>
        <w:tc>
          <w:tcPr>
            <w:tcW w:w="1531" w:type="dxa"/>
            <w:vMerge w:val="restar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临沂市文化和旅游局</w:t>
            </w:r>
          </w:p>
        </w:tc>
        <w:tc>
          <w:tcPr>
            <w:tcW w:w="27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非国有文物收藏单位和其他单位借用国有馆藏二级及以下文物举办展览许可</w:t>
            </w:r>
          </w:p>
        </w:tc>
        <w:tc>
          <w:tcPr>
            <w:tcW w:w="188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3700000122041</w:t>
            </w:r>
          </w:p>
        </w:tc>
        <w:tc>
          <w:tcPr>
            <w:tcW w:w="171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由直接下放调整为服务窗口前移</w:t>
            </w:r>
          </w:p>
        </w:tc>
        <w:tc>
          <w:tcPr>
            <w:tcW w:w="103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p>
        </w:tc>
        <w:tc>
          <w:tcPr>
            <w:tcW w:w="1425"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6" w:space="0"/>
              <w:right w:val="single" w:color="auto" w:sz="4" w:space="0"/>
            </w:tcBorders>
            <w:noWrap w:val="0"/>
            <w:vAlign w:val="center"/>
          </w:tcPr>
          <w:p>
            <w:pPr>
              <w:rPr>
                <w:rFonts w:ascii="文星仿宋" w:eastAsia="文星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78" w:hRule="atLeast"/>
        </w:trPr>
        <w:tc>
          <w:tcPr>
            <w:tcW w:w="802" w:type="dxa"/>
            <w:tcBorders>
              <w:top w:val="single" w:color="auto" w:sz="6"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3</w:t>
            </w:r>
          </w:p>
        </w:tc>
        <w:tc>
          <w:tcPr>
            <w:tcW w:w="1531" w:type="dxa"/>
            <w:vMerge w:val="continue"/>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p>
        </w:tc>
        <w:tc>
          <w:tcPr>
            <w:tcW w:w="2710"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有线电视安装设计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审批</w:t>
            </w:r>
          </w:p>
        </w:tc>
        <w:tc>
          <w:tcPr>
            <w:tcW w:w="1886"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3700000132026</w:t>
            </w:r>
          </w:p>
        </w:tc>
        <w:tc>
          <w:tcPr>
            <w:tcW w:w="1718"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行政许可</w:t>
            </w:r>
          </w:p>
        </w:tc>
        <w:tc>
          <w:tcPr>
            <w:tcW w:w="2633"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由直接下放调整为服务窗口前移</w:t>
            </w:r>
          </w:p>
        </w:tc>
        <w:tc>
          <w:tcPr>
            <w:tcW w:w="1035" w:type="dxa"/>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行政审批服务局</w:t>
            </w:r>
          </w:p>
        </w:tc>
        <w:tc>
          <w:tcPr>
            <w:tcW w:w="1425" w:type="dxa"/>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eastAsia="zh-CN"/>
              </w:rPr>
              <w:t>县</w:t>
            </w:r>
            <w:r>
              <w:rPr>
                <w:rFonts w:hint="eastAsia" w:ascii="仿宋_GB2312" w:hAnsi="仿宋_GB2312" w:eastAsia="仿宋_GB2312" w:cs="仿宋_GB2312"/>
                <w:color w:val="000000"/>
                <w:sz w:val="24"/>
                <w:szCs w:val="24"/>
              </w:rPr>
              <w:t>文化和旅游局</w:t>
            </w:r>
            <w:r>
              <w:rPr>
                <w:rFonts w:hint="eastAsia" w:ascii="仿宋_GB2312" w:hAnsi="仿宋_GB2312" w:eastAsia="仿宋_GB2312" w:cs="仿宋_GB2312"/>
                <w:color w:val="000000"/>
                <w:sz w:val="24"/>
                <w:szCs w:val="24"/>
                <w:lang w:eastAsia="zh-CN"/>
              </w:rPr>
              <w:t>负责</w:t>
            </w:r>
          </w:p>
        </w:tc>
        <w:tc>
          <w:tcPr>
            <w:tcW w:w="1230" w:type="dxa"/>
            <w:tcBorders>
              <w:top w:val="single" w:color="auto" w:sz="6" w:space="0"/>
              <w:left w:val="single" w:color="auto" w:sz="6" w:space="0"/>
              <w:bottom w:val="single" w:color="auto" w:sz="4" w:space="0"/>
              <w:right w:val="single" w:color="auto" w:sz="4" w:space="0"/>
            </w:tcBorders>
            <w:noWrap w:val="0"/>
            <w:vAlign w:val="center"/>
          </w:tcPr>
          <w:p>
            <w:pPr>
              <w:jc w:val="left"/>
              <w:rPr>
                <w:color w:val="FF0000"/>
                <w:sz w:val="24"/>
                <w:szCs w:val="24"/>
              </w:rPr>
            </w:pPr>
          </w:p>
        </w:tc>
      </w:tr>
    </w:tbl>
    <w:p>
      <w:pPr>
        <w:sectPr>
          <w:pgSz w:w="16838" w:h="11906" w:orient="landscape"/>
          <w:pgMar w:top="1587" w:right="1587" w:bottom="1587" w:left="1587" w:header="851" w:footer="992"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郯政字〔2021〕44号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关于成立郯城城投翔政置业有限公司的</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批  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kern w:val="0"/>
          <w:sz w:val="32"/>
          <w:szCs w:val="32"/>
          <w:shd w:val="clear" w:fill="FFFFFF"/>
          <w:lang w:val="en-US" w:eastAsia="zh-CN" w:bidi="ar"/>
        </w:rPr>
        <w:t>县国有资产管理服务中心：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你单位提出的《</w:t>
      </w:r>
      <w:r>
        <w:rPr>
          <w:rFonts w:hint="eastAsia" w:ascii="仿宋_GB2312" w:hAnsi="仿宋_GB2312" w:eastAsia="仿宋_GB2312" w:cs="仿宋_GB2312"/>
          <w:sz w:val="32"/>
          <w:szCs w:val="32"/>
          <w:lang w:val="en-US" w:eastAsia="zh-CN"/>
        </w:rPr>
        <w:t>关于</w:t>
      </w:r>
      <w:r>
        <w:rPr>
          <w:rFonts w:hint="eastAsia" w:ascii="仿宋_GB2312" w:hAnsi="仿宋_GB2312" w:eastAsia="仿宋_GB2312" w:cs="仿宋_GB2312"/>
          <w:sz w:val="32"/>
          <w:szCs w:val="32"/>
        </w:rPr>
        <w:t>成立</w:t>
      </w:r>
      <w:r>
        <w:rPr>
          <w:rFonts w:hint="eastAsia" w:ascii="仿宋_GB2312" w:hAnsi="仿宋_GB2312" w:eastAsia="仿宋_GB2312" w:cs="仿宋_GB2312"/>
          <w:sz w:val="32"/>
          <w:szCs w:val="32"/>
          <w:lang w:eastAsia="zh-CN"/>
        </w:rPr>
        <w:t>郯城</w:t>
      </w:r>
      <w:r>
        <w:rPr>
          <w:rFonts w:hint="eastAsia" w:ascii="仿宋_GB2312" w:hAnsi="仿宋_GB2312" w:eastAsia="仿宋_GB2312" w:cs="仿宋_GB2312"/>
          <w:sz w:val="32"/>
          <w:szCs w:val="32"/>
          <w:lang w:val="en-US" w:eastAsia="zh-CN"/>
        </w:rPr>
        <w:t>城投翔政置业</w:t>
      </w:r>
      <w:r>
        <w:rPr>
          <w:rFonts w:hint="eastAsia" w:ascii="仿宋_GB2312" w:hAnsi="仿宋_GB2312" w:eastAsia="仿宋_GB2312" w:cs="仿宋_GB2312"/>
          <w:sz w:val="32"/>
          <w:szCs w:val="32"/>
        </w:rPr>
        <w:t>有限公司</w:t>
      </w:r>
      <w:r>
        <w:rPr>
          <w:rFonts w:hint="eastAsia" w:ascii="仿宋_GB2312" w:hAnsi="仿宋_GB2312" w:eastAsia="仿宋_GB2312" w:cs="仿宋_GB2312"/>
          <w:sz w:val="32"/>
          <w:szCs w:val="32"/>
          <w:lang w:val="en-US" w:eastAsia="zh-CN"/>
        </w:rPr>
        <w:t>的请示</w:t>
      </w:r>
      <w:r>
        <w:rPr>
          <w:rFonts w:hint="eastAsia" w:ascii="仿宋_GB2312" w:eastAsia="仿宋_GB2312"/>
          <w:sz w:val="32"/>
          <w:szCs w:val="32"/>
        </w:rPr>
        <w:t>》</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lang w:val="en-US" w:eastAsia="zh-CN"/>
        </w:rPr>
        <w:t>郯国资〔</w:t>
      </w:r>
      <w:r>
        <w:rPr>
          <w:rFonts w:hint="default" w:ascii="Times New Roman" w:hAnsi="Times New Roman" w:eastAsia="仿宋_GB2312" w:cs="Times New Roman"/>
          <w:sz w:val="32"/>
          <w:szCs w:val="32"/>
          <w:lang w:val="en-US" w:eastAsia="zh-CN"/>
        </w:rPr>
        <w:t>2021</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Times New Roman"/>
          <w:sz w:val="32"/>
          <w:szCs w:val="32"/>
          <w:lang w:val="en-US" w:eastAsia="zh-CN"/>
        </w:rPr>
        <w:t>46</w:t>
      </w:r>
      <w:r>
        <w:rPr>
          <w:rFonts w:hint="eastAsia" w:ascii="仿宋_GB2312" w:hAnsi="仿宋_GB2312" w:eastAsia="仿宋_GB2312" w:cs="仿宋_GB2312"/>
          <w:sz w:val="32"/>
          <w:szCs w:val="32"/>
          <w:lang w:val="en-US" w:eastAsia="zh-CN"/>
        </w:rPr>
        <w:t>号）已</w:t>
      </w:r>
      <w:r>
        <w:rPr>
          <w:rFonts w:hint="eastAsia" w:ascii="仿宋_GB2312" w:eastAsia="仿宋_GB2312"/>
          <w:sz w:val="32"/>
          <w:szCs w:val="32"/>
        </w:rPr>
        <w:t>收悉，经研究</w:t>
      </w:r>
      <w:r>
        <w:rPr>
          <w:rFonts w:hint="eastAsia" w:ascii="仿宋_GB2312" w:eastAsia="仿宋_GB2312"/>
          <w:sz w:val="32"/>
          <w:szCs w:val="32"/>
          <w:lang w:eastAsia="zh-CN"/>
        </w:rPr>
        <w:t>，</w:t>
      </w:r>
      <w:r>
        <w:rPr>
          <w:rFonts w:hint="eastAsia" w:ascii="仿宋_GB2312" w:eastAsia="仿宋_GB2312"/>
          <w:sz w:val="32"/>
          <w:szCs w:val="32"/>
        </w:rPr>
        <w:t>批复如下：</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原则同意郯城县城市建设投资集团有限公司</w:t>
      </w:r>
      <w:r>
        <w:rPr>
          <w:rFonts w:hint="eastAsia" w:ascii="仿宋_GB2312" w:hAnsi="仿宋_GB2312" w:eastAsia="仿宋_GB2312" w:cs="仿宋_GB2312"/>
          <w:sz w:val="32"/>
          <w:szCs w:val="32"/>
        </w:rPr>
        <w:t>与山东润邦新材料有限公司共同出资成立郯城城投翔政置业有限公司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并纳入集团公司二级企业管理。公司注册资本金</w:t>
      </w:r>
      <w:r>
        <w:rPr>
          <w:rFonts w:hint="eastAsia" w:ascii="Times New Roman" w:hAnsi="Times New Roman" w:eastAsia="仿宋_GB2312" w:cs="Times New Roman"/>
          <w:sz w:val="32"/>
          <w:szCs w:val="32"/>
          <w:lang w:val="en-US" w:eastAsia="zh-CN"/>
        </w:rPr>
        <w:t>1000</w:t>
      </w:r>
      <w:r>
        <w:rPr>
          <w:rFonts w:hint="eastAsia" w:ascii="仿宋_GB2312" w:hAnsi="仿宋_GB2312" w:eastAsia="仿宋_GB2312" w:cs="仿宋_GB2312"/>
          <w:sz w:val="32"/>
          <w:szCs w:val="32"/>
        </w:rPr>
        <w:t>万元，其中郯城县城市建设投资集团有限公司占股</w:t>
      </w:r>
      <w:r>
        <w:rPr>
          <w:rFonts w:hint="default" w:ascii="Times New Roman" w:hAnsi="Times New Roman" w:eastAsia="仿宋_GB2312" w:cs="Times New Roman"/>
          <w:sz w:val="32"/>
          <w:szCs w:val="32"/>
          <w:lang w:val="en-US" w:eastAsia="zh-CN"/>
        </w:rPr>
        <w:t>51</w:t>
      </w:r>
      <w:r>
        <w:rPr>
          <w:rFonts w:hint="default" w:ascii="Times New Roman" w:hAnsi="Times New Roman" w:eastAsia="仿宋_GB2312" w:cs="Times New Roman"/>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山东润邦新材料有限公司占股</w:t>
      </w:r>
      <w:r>
        <w:rPr>
          <w:rFonts w:hint="default" w:ascii="Times New Roman" w:hAnsi="Times New Roman" w:eastAsia="仿宋_GB2312" w:cs="Times New Roman"/>
          <w:sz w:val="32"/>
          <w:szCs w:val="32"/>
          <w:lang w:val="en-US" w:eastAsia="zh-CN"/>
        </w:rPr>
        <w:t>49</w:t>
      </w:r>
      <w:r>
        <w:rPr>
          <w:rFonts w:hint="default" w:ascii="Times New Roman" w:hAnsi="Times New Roman" w:eastAsia="仿宋_GB2312" w:cs="Times New Roman"/>
          <w:sz w:val="32"/>
          <w:szCs w:val="32"/>
        </w:rPr>
        <w:t>%</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公司经营范围：房地产开发经营，住宅室内装饰装修（依法须经批准的项目，经相关部门批准后方可开展经营活动，具体经营项目以相关部门批准文件或许可证件为准），商业综合体管理服务，园林绿化工程施工，住宅水电安装维护服务，建筑工程用机械销售，物业管理，建筑材料销售，建筑工程机械与设备租赁，建筑装饰材料销售，房地产咨询（除依法须经批准的项目外，凭营业执照依法自主开展经营活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你单位要按照公司制改革方案严格执行，认真履行监管职责，督促该公司严格按照《公司法》等有关法律法规建立规章制度，完善法人治理结构，依法合规开展经营活动，切实防范风险。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特此批复。</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年8月9日</w:t>
      </w:r>
    </w:p>
    <w:p>
      <w:pPr>
        <w:pStyle w:val="4"/>
        <w:ind w:firstLine="640" w:firstLineChars="200"/>
        <w:rPr>
          <w:rFonts w:hint="default"/>
          <w:lang w:val="en-US" w:eastAsia="zh-CN"/>
        </w:rPr>
      </w:pPr>
      <w:r>
        <w:rPr>
          <w:rFonts w:hint="eastAsia" w:ascii="仿宋_GB2312" w:hAnsi="仿宋_GB2312" w:eastAsia="仿宋_GB2312" w:cs="仿宋_GB2312"/>
          <w:kern w:val="0"/>
          <w:sz w:val="32"/>
          <w:szCs w:val="32"/>
        </w:rPr>
        <w:t>（此件公开发布）</w:t>
      </w:r>
    </w:p>
    <w:p>
      <w:pPr>
        <w:pStyle w:val="4"/>
        <w:sectPr>
          <w:pgSz w:w="11906" w:h="16838"/>
          <w:pgMar w:top="1587" w:right="1587" w:bottom="1587" w:left="1587" w:header="851" w:footer="992"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郯政字〔2021〕45号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w:t>
      </w:r>
      <w:r>
        <w:rPr>
          <w:rFonts w:hint="eastAsia" w:ascii="方正小标宋简体" w:hAnsi="方正小标宋简体" w:eastAsia="方正小标宋简体" w:cs="方正小标宋简体"/>
          <w:sz w:val="44"/>
          <w:szCs w:val="44"/>
        </w:rPr>
        <w:t>郯城县城市建设投资集团有限公司收购山东道合建材有限公司的</w:t>
      </w:r>
      <w:r>
        <w:rPr>
          <w:rFonts w:hint="eastAsia" w:ascii="方正小标宋简体" w:hAnsi="方正小标宋简体" w:eastAsia="方正小标宋简体" w:cs="方正小标宋简体"/>
          <w:sz w:val="44"/>
          <w:szCs w:val="44"/>
          <w:lang w:val="en-US" w:eastAsia="zh-CN"/>
        </w:rPr>
        <w:t>批复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kern w:val="0"/>
          <w:sz w:val="32"/>
          <w:szCs w:val="32"/>
          <w:shd w:val="clear" w:fill="FFFFFF"/>
          <w:lang w:val="en-US" w:eastAsia="zh-CN" w:bidi="ar"/>
        </w:rPr>
        <w:t>县国有资产管理服务中心：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ascii="仿宋_GB2312" w:eastAsia="仿宋_GB2312"/>
          <w:sz w:val="32"/>
          <w:szCs w:val="32"/>
        </w:rPr>
      </w:pPr>
      <w:r>
        <w:rPr>
          <w:rFonts w:hint="eastAsia" w:ascii="仿宋_GB2312" w:eastAsia="仿宋_GB2312"/>
          <w:sz w:val="32"/>
          <w:szCs w:val="32"/>
        </w:rPr>
        <w:t>你单位提出的</w:t>
      </w:r>
      <w:r>
        <w:rPr>
          <w:rFonts w:hint="eastAsia" w:ascii="仿宋_GB2312" w:eastAsia="仿宋_GB2312"/>
          <w:sz w:val="32"/>
          <w:szCs w:val="32"/>
          <w:lang w:eastAsia="zh-CN"/>
        </w:rPr>
        <w:t>《</w:t>
      </w:r>
      <w:r>
        <w:rPr>
          <w:rFonts w:hint="eastAsia" w:ascii="仿宋_GB2312" w:eastAsia="仿宋_GB2312"/>
          <w:sz w:val="32"/>
          <w:szCs w:val="32"/>
          <w:lang w:val="en-US" w:eastAsia="zh-CN"/>
        </w:rPr>
        <w:t>关于</w:t>
      </w:r>
      <w:r>
        <w:rPr>
          <w:rFonts w:hint="eastAsia" w:ascii="仿宋_GB2312" w:hAnsi="仿宋_GB2312" w:eastAsia="仿宋_GB2312" w:cs="仿宋_GB2312"/>
          <w:sz w:val="32"/>
          <w:szCs w:val="32"/>
        </w:rPr>
        <w:t>郯城县城市建设投资集团有限公司收购山东道合建材有限公司的请示</w:t>
      </w:r>
      <w:r>
        <w:rPr>
          <w:rFonts w:hint="eastAsia" w:ascii="仿宋_GB2312" w:eastAsia="仿宋_GB2312"/>
          <w:sz w:val="32"/>
          <w:szCs w:val="32"/>
        </w:rPr>
        <w:t>》</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lang w:val="en-US" w:eastAsia="zh-CN"/>
        </w:rPr>
        <w:t>郯国资〔</w:t>
      </w:r>
      <w:r>
        <w:rPr>
          <w:rFonts w:hint="default" w:ascii="Times New Roman" w:hAnsi="Times New Roman" w:eastAsia="仿宋_GB2312" w:cs="Times New Roman"/>
          <w:sz w:val="32"/>
          <w:szCs w:val="32"/>
          <w:lang w:val="en-US" w:eastAsia="zh-CN"/>
        </w:rPr>
        <w:t>2021</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Times New Roman"/>
          <w:sz w:val="32"/>
          <w:szCs w:val="32"/>
          <w:lang w:val="en-US" w:eastAsia="zh-CN"/>
        </w:rPr>
        <w:t>47</w:t>
      </w:r>
      <w:r>
        <w:rPr>
          <w:rFonts w:hint="eastAsia" w:ascii="仿宋_GB2312" w:hAnsi="仿宋_GB2312" w:eastAsia="仿宋_GB2312" w:cs="仿宋_GB2312"/>
          <w:sz w:val="32"/>
          <w:szCs w:val="32"/>
          <w:lang w:val="en-US" w:eastAsia="zh-CN"/>
        </w:rPr>
        <w:t>号）已</w:t>
      </w:r>
      <w:r>
        <w:rPr>
          <w:rFonts w:hint="eastAsia" w:ascii="仿宋_GB2312" w:eastAsia="仿宋_GB2312"/>
          <w:sz w:val="32"/>
          <w:szCs w:val="32"/>
        </w:rPr>
        <w:t>收悉，经研究</w:t>
      </w:r>
      <w:r>
        <w:rPr>
          <w:rFonts w:hint="eastAsia" w:ascii="仿宋_GB2312" w:eastAsia="仿宋_GB2312"/>
          <w:sz w:val="32"/>
          <w:szCs w:val="32"/>
          <w:lang w:eastAsia="zh-CN"/>
        </w:rPr>
        <w:t>，</w:t>
      </w:r>
      <w:r>
        <w:rPr>
          <w:rFonts w:hint="eastAsia" w:ascii="仿宋_GB2312" w:eastAsia="仿宋_GB2312"/>
          <w:sz w:val="32"/>
          <w:szCs w:val="32"/>
        </w:rPr>
        <w:t>批复如下：</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原则同意郯城县城市建设投资集团有限公司</w:t>
      </w:r>
      <w:r>
        <w:rPr>
          <w:rFonts w:hint="eastAsia" w:ascii="仿宋_GB2312" w:hAnsi="仿宋_GB2312" w:eastAsia="仿宋_GB2312" w:cs="仿宋_GB2312"/>
          <w:sz w:val="32"/>
          <w:szCs w:val="32"/>
        </w:rPr>
        <w:t>收购山东道合控股有限公司名下山东道合建材有限公司</w:t>
      </w:r>
      <w:r>
        <w:rPr>
          <w:rFonts w:hint="eastAsia" w:ascii="Times New Roman" w:hAnsi="Times New Roman" w:eastAsia="仿宋_GB2312" w:cs="Times New Roman"/>
          <w:sz w:val="32"/>
          <w:szCs w:val="32"/>
          <w:lang w:val="en-US" w:eastAsia="zh-CN"/>
        </w:rPr>
        <w:t>51%</w:t>
      </w:r>
      <w:r>
        <w:rPr>
          <w:rFonts w:hint="eastAsia" w:ascii="仿宋_GB2312" w:hAnsi="仿宋_GB2312" w:eastAsia="仿宋_GB2312" w:cs="仿宋_GB2312"/>
          <w:sz w:val="32"/>
          <w:szCs w:val="32"/>
        </w:rPr>
        <w:t>股权，由郯城城投建筑材料有限公司履行出资人义务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收购后，郯城城投建筑材料有限公司占股</w:t>
      </w:r>
      <w:r>
        <w:rPr>
          <w:rFonts w:hint="eastAsia" w:ascii="Times New Roman" w:hAnsi="Times New Roman" w:eastAsia="仿宋_GB2312" w:cs="Times New Roman"/>
          <w:sz w:val="32"/>
          <w:szCs w:val="32"/>
          <w:lang w:val="en-US" w:eastAsia="zh-CN"/>
        </w:rPr>
        <w:t>51%，</w:t>
      </w:r>
      <w:r>
        <w:rPr>
          <w:rFonts w:hint="eastAsia" w:ascii="仿宋_GB2312" w:hAnsi="仿宋_GB2312" w:eastAsia="仿宋_GB2312" w:cs="仿宋_GB2312"/>
          <w:sz w:val="32"/>
          <w:szCs w:val="32"/>
        </w:rPr>
        <w:t>山东道合控股有限公司占股</w:t>
      </w:r>
      <w:r>
        <w:rPr>
          <w:rFonts w:hint="default" w:ascii="Times New Roman" w:hAnsi="Times New Roman" w:eastAsia="仿宋_GB2312" w:cs="Times New Roman"/>
          <w:sz w:val="32"/>
          <w:szCs w:val="32"/>
        </w:rPr>
        <w:t>49%</w:t>
      </w:r>
      <w:r>
        <w:rPr>
          <w:rFonts w:hint="eastAsia" w:ascii="仿宋_GB2312" w:hAnsi="仿宋_GB2312" w:eastAsia="仿宋_GB2312" w:cs="仿宋_GB2312"/>
          <w:sz w:val="32"/>
          <w:szCs w:val="32"/>
        </w:rPr>
        <w:t>,并作为集团三级企业管理。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公司经营范围：建筑材料销售；建筑用石加工；建筑装饰材料销售；建筑陶瓷制品销售；水泥制品销售；水泥制品制造；建筑用钢筋产品销售；砼结构构件销售；砼结构构件制造；金属结构制造；钢压延加工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除依法须经批准的项目外，凭营业执照依法自主开展经营活动）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城投集团要做好收购工作，严格按照《公司法》等有关法律法规建立规章制度，完善法人治理结构，依法合规开展经营活动，切实防范风险。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特此批复。</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年8月9日</w:t>
      </w:r>
    </w:p>
    <w:p>
      <w:pPr>
        <w:pStyle w:val="4"/>
      </w:pPr>
    </w:p>
    <w:p>
      <w:pPr>
        <w:pStyle w:val="4"/>
        <w:ind w:firstLine="640" w:firstLineChars="200"/>
        <w:sectPr>
          <w:pgSz w:w="11906" w:h="16838"/>
          <w:pgMar w:top="1587" w:right="1587" w:bottom="1587" w:left="1587" w:header="851" w:footer="992" w:gutter="0"/>
          <w:pgNumType w:fmt="decimal"/>
          <w:cols w:space="0" w:num="1"/>
          <w:rtlGutter w:val="0"/>
          <w:docGrid w:type="lines" w:linePitch="312" w:charSpace="0"/>
        </w:sectPr>
      </w:pPr>
      <w:r>
        <w:rPr>
          <w:rFonts w:hint="eastAsia" w:ascii="仿宋_GB2312" w:hAnsi="仿宋_GB2312" w:eastAsia="仿宋_GB2312" w:cs="仿宋_GB2312"/>
          <w:kern w:val="0"/>
          <w:sz w:val="32"/>
          <w:szCs w:val="32"/>
        </w:rPr>
        <w:t>（此件公开发布）</w:t>
      </w: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333333"/>
          <w:kern w:val="0"/>
          <w:sz w:val="44"/>
          <w:szCs w:val="44"/>
          <w:lang w:val="en-US" w:eastAsia="zh-CN"/>
        </w:rPr>
      </w:pPr>
      <w:r>
        <w:rPr>
          <w:rFonts w:hint="eastAsia" w:ascii="仿宋_GB2312" w:hAnsi="仿宋_GB2312" w:eastAsia="仿宋_GB2312" w:cs="仿宋_GB2312"/>
          <w:bCs/>
          <w:color w:val="333333"/>
          <w:kern w:val="0"/>
          <w:sz w:val="32"/>
          <w:szCs w:val="32"/>
          <w:lang w:val="en-US" w:eastAsia="zh-CN"/>
        </w:rPr>
        <w:t>郯政字</w:t>
      </w:r>
      <w:r>
        <w:rPr>
          <w:rFonts w:hint="eastAsia" w:ascii="仿宋_GB2312" w:hAnsi="仿宋_GB2312" w:eastAsia="仿宋_GB2312" w:cs="仿宋_GB2312"/>
          <w:bCs/>
          <w:sz w:val="32"/>
          <w:szCs w:val="32"/>
        </w:rPr>
        <w:t>〔20</w:t>
      </w:r>
      <w:r>
        <w:rPr>
          <w:rFonts w:hint="eastAsia" w:ascii="仿宋_GB2312" w:hAnsi="仿宋_GB2312" w:eastAsia="仿宋_GB2312" w:cs="仿宋_GB2312"/>
          <w:bCs/>
          <w:sz w:val="32"/>
          <w:szCs w:val="32"/>
          <w:lang w:val="en-US" w:eastAsia="zh-CN"/>
        </w:rPr>
        <w:t>21</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46</w:t>
      </w:r>
      <w:r>
        <w:rPr>
          <w:rFonts w:hint="eastAsia" w:ascii="仿宋_GB2312" w:hAnsi="仿宋_GB2312" w:eastAsia="仿宋_GB2312" w:cs="仿宋_GB2312"/>
          <w:bCs/>
          <w:color w:val="333333"/>
          <w:kern w:val="0"/>
          <w:sz w:val="32"/>
          <w:szCs w:val="32"/>
          <w:lang w:val="en-US" w:eastAsia="zh-CN"/>
        </w:rPr>
        <w:t>号</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333333"/>
          <w:kern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333333"/>
          <w:kern w:val="0"/>
          <w:sz w:val="44"/>
          <w:szCs w:val="44"/>
          <w:lang w:val="en-US" w:eastAsia="zh-CN"/>
        </w:rPr>
      </w:pPr>
      <w:r>
        <w:rPr>
          <w:rFonts w:hint="eastAsia" w:ascii="方正小标宋简体" w:hAnsi="方正小标宋简体" w:eastAsia="方正小标宋简体" w:cs="方正小标宋简体"/>
          <w:bCs/>
          <w:color w:val="333333"/>
          <w:kern w:val="0"/>
          <w:sz w:val="44"/>
          <w:szCs w:val="44"/>
          <w:lang w:val="en-US" w:eastAsia="zh-CN"/>
        </w:rPr>
        <w:t>郯城县人民政府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333333"/>
          <w:kern w:val="0"/>
          <w:sz w:val="44"/>
          <w:szCs w:val="44"/>
          <w:lang w:val="en-US" w:eastAsia="zh-CN"/>
        </w:rPr>
      </w:pPr>
      <w:r>
        <w:rPr>
          <w:rFonts w:hint="eastAsia" w:ascii="方正小标宋简体" w:hAnsi="方正小标宋简体" w:eastAsia="方正小标宋简体" w:cs="方正小标宋简体"/>
          <w:bCs/>
          <w:color w:val="333333"/>
          <w:kern w:val="0"/>
          <w:sz w:val="44"/>
          <w:szCs w:val="44"/>
          <w:lang w:val="en-US" w:eastAsia="zh-CN"/>
        </w:rPr>
        <w:t>关于公布郯城县第二批历史建筑保护名单的</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333333"/>
          <w:kern w:val="0"/>
          <w:sz w:val="44"/>
          <w:szCs w:val="44"/>
          <w:lang w:val="en-US" w:eastAsia="zh-CN"/>
        </w:rPr>
      </w:pPr>
      <w:r>
        <w:rPr>
          <w:rFonts w:hint="eastAsia" w:ascii="方正小标宋简体" w:hAnsi="方正小标宋简体" w:eastAsia="方正小标宋简体" w:cs="方正小标宋简体"/>
          <w:bCs/>
          <w:color w:val="333333"/>
          <w:kern w:val="0"/>
          <w:sz w:val="44"/>
          <w:szCs w:val="44"/>
          <w:lang w:val="en-US" w:eastAsia="zh-CN"/>
        </w:rPr>
        <w:t>通  知</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宋体"/>
          <w:bCs/>
          <w:color w:val="333333"/>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Cs/>
          <w:color w:val="333333"/>
          <w:kern w:val="0"/>
          <w:sz w:val="32"/>
          <w:szCs w:val="32"/>
          <w:lang w:eastAsia="zh-CN"/>
        </w:rPr>
      </w:pPr>
      <w:r>
        <w:rPr>
          <w:rFonts w:hint="eastAsia" w:ascii="仿宋_GB2312" w:hAnsi="仿宋_GB2312" w:eastAsia="仿宋_GB2312" w:cs="仿宋_GB2312"/>
          <w:bCs/>
          <w:color w:val="333333"/>
          <w:kern w:val="0"/>
          <w:sz w:val="32"/>
          <w:szCs w:val="32"/>
          <w:lang w:eastAsia="zh-CN"/>
        </w:rPr>
        <w:t>各乡镇人民政府、郯城街道办事处，县政府各部门，科级以上事业单位，省、市驻郯各单位，郯城经济开发区管委会</w:t>
      </w:r>
      <w:r>
        <w:rPr>
          <w:rFonts w:hint="eastAsia" w:ascii="仿宋_GB2312" w:hAnsi="仿宋_GB2312" w:eastAsia="仿宋_GB2312" w:cs="仿宋_GB2312"/>
          <w:bCs/>
          <w:color w:val="333333"/>
          <w:kern w:val="0"/>
          <w:sz w:val="32"/>
          <w:szCs w:val="32"/>
          <w:lang w:val="en-US" w:eastAsia="zh-CN"/>
        </w:rPr>
        <w:t>,</w:t>
      </w:r>
      <w:r>
        <w:rPr>
          <w:rFonts w:hint="eastAsia" w:ascii="仿宋_GB2312" w:hAnsi="仿宋_GB2312" w:eastAsia="仿宋_GB2312" w:cs="仿宋_GB2312"/>
          <w:bCs/>
          <w:color w:val="333333"/>
          <w:kern w:val="0"/>
          <w:sz w:val="32"/>
          <w:szCs w:val="32"/>
          <w:lang w:eastAsia="zh-CN"/>
        </w:rPr>
        <w:t>新村银杏产业开发区管委会：</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r>
        <w:rPr>
          <w:rFonts w:hint="eastAsia" w:ascii="仿宋_GB2312" w:hAnsi="仿宋_GB2312" w:eastAsia="仿宋_GB2312" w:cs="仿宋_GB2312"/>
          <w:bCs/>
          <w:color w:val="333333"/>
          <w:kern w:val="0"/>
          <w:sz w:val="32"/>
          <w:szCs w:val="32"/>
          <w:lang w:eastAsia="zh-CN"/>
        </w:rPr>
        <w:t>按照省住建厅《关于进一步加强历史文化街区划定和历史建筑确定工作的通知》、临沂市住建局《关于开展历史建筑确定工作的通知》要求，为加强我县历史建筑保护管理，更好地传承历史文化，保留历史记忆，延续历史文脉，彰显地域特色，经县政府研究，决定把</w:t>
      </w:r>
      <w:r>
        <w:rPr>
          <w:rFonts w:hint="eastAsia" w:ascii="仿宋_GB2312" w:hAnsi="仿宋_GB2312" w:eastAsia="仿宋_GB2312" w:cs="仿宋_GB2312"/>
          <w:bCs/>
          <w:color w:val="333333"/>
          <w:kern w:val="0"/>
          <w:sz w:val="32"/>
          <w:szCs w:val="32"/>
          <w:vertAlign w:val="baseline"/>
          <w:lang w:eastAsia="zh-CN"/>
        </w:rPr>
        <w:t>鲁南第一支部旧址等</w:t>
      </w:r>
      <w:r>
        <w:rPr>
          <w:rFonts w:hint="eastAsia" w:ascii="仿宋_GB2312" w:hAnsi="仿宋_GB2312" w:eastAsia="仿宋_GB2312" w:cs="仿宋_GB2312"/>
          <w:bCs/>
          <w:color w:val="333333"/>
          <w:kern w:val="0"/>
          <w:sz w:val="32"/>
          <w:szCs w:val="32"/>
          <w:lang w:eastAsia="zh-CN"/>
        </w:rPr>
        <w:t>列为郯城县第二批历史建筑进行保护，现予公布。</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r>
        <w:rPr>
          <w:rFonts w:hint="eastAsia" w:ascii="仿宋_GB2312" w:hAnsi="仿宋_GB2312" w:eastAsia="仿宋_GB2312" w:cs="仿宋_GB2312"/>
          <w:bCs/>
          <w:color w:val="333333"/>
          <w:kern w:val="0"/>
          <w:sz w:val="32"/>
          <w:szCs w:val="32"/>
          <w:lang w:eastAsia="zh-CN"/>
        </w:rPr>
        <w:t>各级各部门要各司其职，加强对历史建筑的保护、管理和宣传工作，建立建筑档案，切实做好历史建筑保护利用工作。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r>
        <w:rPr>
          <w:rFonts w:hint="eastAsia" w:ascii="仿宋_GB2312" w:hAnsi="仿宋_GB2312" w:eastAsia="仿宋_GB2312" w:cs="仿宋_GB2312"/>
          <w:bCs/>
          <w:color w:val="333333"/>
          <w:kern w:val="0"/>
          <w:sz w:val="32"/>
          <w:szCs w:val="32"/>
          <w:lang w:eastAsia="zh-CN"/>
        </w:rPr>
        <w:t>附件：郯城县第二批历史建筑名单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333333"/>
          <w:kern w:val="0"/>
          <w:sz w:val="32"/>
          <w:szCs w:val="32"/>
          <w:lang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right"/>
        <w:textAlignment w:val="auto"/>
        <w:rPr>
          <w:rFonts w:hint="default" w:ascii="仿宋_GB2312" w:hAnsi="仿宋_GB2312" w:eastAsia="仿宋_GB2312" w:cs="仿宋_GB2312"/>
          <w:bCs/>
          <w:color w:val="333333"/>
          <w:kern w:val="0"/>
          <w:sz w:val="32"/>
          <w:szCs w:val="32"/>
          <w:lang w:val="en-US" w:eastAsia="zh-CN"/>
        </w:rPr>
      </w:pPr>
      <w:r>
        <w:rPr>
          <w:rFonts w:hint="eastAsia" w:ascii="仿宋_GB2312" w:hAnsi="仿宋_GB2312" w:eastAsia="仿宋_GB2312" w:cs="仿宋_GB2312"/>
          <w:bCs/>
          <w:color w:val="333333"/>
          <w:kern w:val="0"/>
          <w:sz w:val="32"/>
          <w:szCs w:val="32"/>
          <w:lang w:val="en-US" w:eastAsia="zh-CN"/>
        </w:rPr>
        <w:t xml:space="preserve">                               郯城县人民政府    </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right"/>
        <w:textAlignment w:val="auto"/>
        <w:rPr>
          <w:rFonts w:hint="default" w:ascii="仿宋_GB2312" w:hAnsi="仿宋_GB2312" w:eastAsia="仿宋_GB2312" w:cs="仿宋_GB2312"/>
          <w:bCs/>
          <w:color w:val="333333"/>
          <w:kern w:val="0"/>
          <w:sz w:val="32"/>
          <w:szCs w:val="32"/>
          <w:lang w:val="en-US" w:eastAsia="zh-CN"/>
        </w:rPr>
      </w:pPr>
      <w:r>
        <w:rPr>
          <w:rFonts w:hint="eastAsia" w:ascii="仿宋_GB2312" w:hAnsi="仿宋_GB2312" w:eastAsia="仿宋_GB2312" w:cs="仿宋_GB2312"/>
          <w:bCs/>
          <w:color w:val="333333"/>
          <w:kern w:val="0"/>
          <w:sz w:val="32"/>
          <w:szCs w:val="32"/>
          <w:lang w:val="en-US" w:eastAsia="zh-CN"/>
        </w:rPr>
        <w:t xml:space="preserve">                                2021年8月11日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sectPr>
          <w:footerReference r:id="rId10" w:type="default"/>
          <w:pgSz w:w="11906" w:h="16838"/>
          <w:pgMar w:top="1814" w:right="1587" w:bottom="1701" w:left="1587" w:header="851" w:footer="992" w:gutter="0"/>
          <w:pgNumType w:fmt="decimal"/>
          <w:cols w:space="720" w:num="1"/>
          <w:docGrid w:type="lines" w:linePitch="312" w:charSpace="0"/>
        </w:sectPr>
      </w:pPr>
      <w:r>
        <w:rPr>
          <w:rFonts w:hint="eastAsia" w:ascii="仿宋_GB2312" w:hAnsi="仿宋_GB2312" w:eastAsia="仿宋_GB2312" w:cs="仿宋_GB2312"/>
          <w:kern w:val="0"/>
          <w:sz w:val="32"/>
          <w:szCs w:val="32"/>
        </w:rPr>
        <w:t>（此件公开发布）</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Cs/>
          <w:color w:val="333333"/>
          <w:kern w:val="0"/>
          <w:sz w:val="32"/>
          <w:szCs w:val="32"/>
          <w:lang w:eastAsia="zh-CN"/>
        </w:rPr>
      </w:pPr>
      <w:r>
        <w:rPr>
          <w:rFonts w:hint="eastAsia" w:ascii="黑体" w:hAnsi="黑体" w:eastAsia="黑体" w:cs="黑体"/>
          <w:bCs/>
          <w:color w:val="333333"/>
          <w:kern w:val="0"/>
          <w:sz w:val="32"/>
          <w:szCs w:val="32"/>
          <w:lang w:eastAsia="zh-CN"/>
        </w:rPr>
        <w:t>附件：</w:t>
      </w: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eastAsia="zh-CN"/>
        </w:rPr>
      </w:pPr>
      <w:r>
        <w:rPr>
          <w:rFonts w:hint="eastAsia" w:ascii="方正小标宋简体" w:hAnsi="方正小标宋简体" w:eastAsia="方正小标宋简体" w:cs="方正小标宋简体"/>
          <w:bCs/>
          <w:color w:val="333333"/>
          <w:kern w:val="0"/>
          <w:sz w:val="44"/>
          <w:szCs w:val="44"/>
        </w:rPr>
        <w:t>郯城县第</w:t>
      </w:r>
      <w:r>
        <w:rPr>
          <w:rFonts w:hint="eastAsia" w:ascii="方正小标宋简体" w:hAnsi="方正小标宋简体" w:eastAsia="方正小标宋简体" w:cs="方正小标宋简体"/>
          <w:bCs/>
          <w:color w:val="333333"/>
          <w:kern w:val="0"/>
          <w:sz w:val="44"/>
          <w:szCs w:val="44"/>
          <w:lang w:eastAsia="zh-CN"/>
        </w:rPr>
        <w:t>二</w:t>
      </w:r>
      <w:r>
        <w:rPr>
          <w:rFonts w:hint="eastAsia" w:ascii="方正小标宋简体" w:hAnsi="方正小标宋简体" w:eastAsia="方正小标宋简体" w:cs="方正小标宋简体"/>
          <w:bCs/>
          <w:color w:val="333333"/>
          <w:kern w:val="0"/>
          <w:sz w:val="44"/>
          <w:szCs w:val="44"/>
        </w:rPr>
        <w:t>批历史建筑</w:t>
      </w:r>
      <w:r>
        <w:rPr>
          <w:rFonts w:hint="eastAsia" w:ascii="方正小标宋简体" w:hAnsi="方正小标宋简体" w:eastAsia="方正小标宋简体" w:cs="方正小标宋简体"/>
          <w:bCs/>
          <w:color w:val="333333"/>
          <w:kern w:val="0"/>
          <w:sz w:val="44"/>
          <w:szCs w:val="44"/>
          <w:lang w:eastAsia="zh-CN"/>
        </w:rPr>
        <w:t>名单</w:t>
      </w: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color w:val="333333"/>
          <w:kern w:val="0"/>
          <w:sz w:val="44"/>
          <w:szCs w:val="44"/>
          <w:lang w:eastAsia="zh-CN"/>
        </w:rPr>
      </w:pPr>
    </w:p>
    <w:tbl>
      <w:tblPr>
        <w:tblStyle w:val="11"/>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5305"/>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序</w:t>
            </w:r>
            <w:r>
              <w:rPr>
                <w:rFonts w:hint="eastAsia" w:ascii="仿宋" w:hAnsi="仿宋" w:eastAsia="仿宋" w:cs="宋体"/>
                <w:bCs/>
                <w:color w:val="333333"/>
                <w:kern w:val="0"/>
                <w:sz w:val="32"/>
                <w:szCs w:val="32"/>
                <w:vertAlign w:val="baseline"/>
                <w:lang w:val="en-US" w:eastAsia="zh-CN"/>
              </w:rPr>
              <w:t xml:space="preserve"> </w:t>
            </w:r>
            <w:r>
              <w:rPr>
                <w:rFonts w:hint="eastAsia" w:ascii="仿宋" w:hAnsi="仿宋" w:eastAsia="仿宋" w:cs="宋体"/>
                <w:bCs/>
                <w:color w:val="333333"/>
                <w:kern w:val="0"/>
                <w:sz w:val="32"/>
                <w:szCs w:val="32"/>
                <w:vertAlign w:val="baseline"/>
                <w:lang w:eastAsia="zh-CN"/>
              </w:rPr>
              <w:t>号</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历史建筑名称</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所属乡镇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1</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val="en-US" w:eastAsia="zh-CN"/>
              </w:rPr>
              <w:t>源兴涌</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2</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鲁南第一支部旧址</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3</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郯马工委旧址</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4</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三山加一井</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5</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重坊镇徐出口村徐氏祠堂</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6</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城关街道窑上石渠</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郯城街道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7</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李庄镇官庄石渠</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李庄镇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8</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李庄镇株柏张氏祠堂</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李庄镇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9</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庙山镇关帝庙</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庙山镇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347"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宋体"/>
                <w:bCs/>
                <w:color w:val="333333"/>
                <w:kern w:val="0"/>
                <w:sz w:val="32"/>
                <w:szCs w:val="32"/>
                <w:vertAlign w:val="baseline"/>
                <w:lang w:val="en-US" w:eastAsia="zh-CN"/>
              </w:rPr>
            </w:pPr>
            <w:r>
              <w:rPr>
                <w:rFonts w:hint="eastAsia" w:ascii="仿宋" w:hAnsi="仿宋" w:eastAsia="仿宋" w:cs="宋体"/>
                <w:bCs/>
                <w:color w:val="333333"/>
                <w:kern w:val="0"/>
                <w:sz w:val="32"/>
                <w:szCs w:val="32"/>
                <w:vertAlign w:val="baseline"/>
                <w:lang w:val="en-US" w:eastAsia="zh-CN"/>
              </w:rPr>
              <w:t>10</w:t>
            </w:r>
          </w:p>
        </w:tc>
        <w:tc>
          <w:tcPr>
            <w:tcW w:w="5305"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泉源镇党委大礼堂</w:t>
            </w:r>
          </w:p>
        </w:tc>
        <w:tc>
          <w:tcPr>
            <w:tcW w:w="3326" w:type="dxa"/>
            <w:noWrap w:val="0"/>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宋体"/>
                <w:bCs/>
                <w:color w:val="333333"/>
                <w:kern w:val="0"/>
                <w:sz w:val="32"/>
                <w:szCs w:val="32"/>
                <w:vertAlign w:val="baseline"/>
                <w:lang w:eastAsia="zh-CN"/>
              </w:rPr>
            </w:pPr>
            <w:r>
              <w:rPr>
                <w:rFonts w:hint="eastAsia" w:ascii="仿宋" w:hAnsi="仿宋" w:eastAsia="仿宋" w:cs="宋体"/>
                <w:bCs/>
                <w:color w:val="333333"/>
                <w:kern w:val="0"/>
                <w:sz w:val="32"/>
                <w:szCs w:val="32"/>
                <w:vertAlign w:val="baseline"/>
                <w:lang w:eastAsia="zh-CN"/>
              </w:rPr>
              <w:t>泉源镇</w:t>
            </w:r>
          </w:p>
        </w:tc>
      </w:tr>
    </w:tbl>
    <w:p>
      <w:pPr>
        <w:keepNext w:val="0"/>
        <w:keepLines w:val="0"/>
        <w:pageBreakBefore w:val="0"/>
        <w:widowControl/>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宋体"/>
          <w:bCs/>
          <w:color w:val="333333"/>
          <w:kern w:val="0"/>
          <w:sz w:val="32"/>
          <w:szCs w:val="32"/>
          <w:lang w:eastAsia="zh-CN"/>
        </w:rPr>
        <w:sectPr>
          <w:pgSz w:w="11906" w:h="16838"/>
          <w:pgMar w:top="1814" w:right="1587" w:bottom="1701" w:left="1587"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郯政字〔2021〕47号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关于郯城县城市建设投资集团有限公司收购</w:t>
      </w:r>
      <w:r>
        <w:rPr>
          <w:rFonts w:hint="eastAsia" w:ascii="方正小标宋简体" w:hAnsi="方正小标宋简体" w:eastAsia="方正小标宋简体" w:cs="方正小标宋简体"/>
          <w:sz w:val="44"/>
          <w:szCs w:val="44"/>
          <w:lang w:val="en-US" w:eastAsia="zh-CN"/>
        </w:rPr>
        <w:t>斯科瑞新材料科技（山东）股份</w:t>
      </w:r>
      <w:r>
        <w:rPr>
          <w:rFonts w:hint="eastAsia" w:ascii="方正小标宋简体" w:hAnsi="方正小标宋简体" w:eastAsia="方正小标宋简体" w:cs="方正小标宋简体"/>
          <w:sz w:val="44"/>
          <w:szCs w:val="44"/>
        </w:rPr>
        <w:t>有限公司的</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批  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kern w:val="0"/>
          <w:sz w:val="32"/>
          <w:szCs w:val="32"/>
          <w:shd w:val="clear" w:fill="FFFFFF"/>
          <w:lang w:val="en-US" w:eastAsia="zh-CN" w:bidi="ar"/>
        </w:rPr>
        <w:t>县国有资产管理服务中心：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rPr>
        <w:t>你单位《关于郯城县城市建设投资集团有限公司收购</w:t>
      </w:r>
      <w:r>
        <w:rPr>
          <w:rFonts w:hint="eastAsia" w:ascii="仿宋_GB2312" w:hAnsi="仿宋_GB2312" w:eastAsia="仿宋_GB2312" w:cs="仿宋_GB2312"/>
          <w:sz w:val="32"/>
          <w:szCs w:val="32"/>
          <w:lang w:val="en-US" w:eastAsia="zh-CN"/>
        </w:rPr>
        <w:t>斯科瑞新材料科技（山东）股份</w:t>
      </w:r>
      <w:r>
        <w:rPr>
          <w:rFonts w:hint="eastAsia" w:ascii="仿宋_GB2312" w:hAnsi="仿宋_GB2312" w:eastAsia="仿宋_GB2312" w:cs="仿宋_GB2312"/>
          <w:sz w:val="32"/>
          <w:szCs w:val="32"/>
        </w:rPr>
        <w:t>有限公司的请示》（郯国资〔</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hint="eastAsia" w:ascii="Times New Roman" w:hAnsi="Times New Roman" w:eastAsia="仿宋_GB2312"/>
          <w:sz w:val="32"/>
          <w:szCs w:val="32"/>
          <w:lang w:val="en-US" w:eastAsia="zh-CN"/>
        </w:rPr>
        <w:t>57</w:t>
      </w:r>
      <w:r>
        <w:rPr>
          <w:rFonts w:hint="eastAsia" w:ascii="仿宋_GB2312" w:hAnsi="仿宋_GB2312" w:eastAsia="仿宋_GB2312" w:cs="仿宋_GB2312"/>
          <w:sz w:val="32"/>
          <w:szCs w:val="32"/>
        </w:rPr>
        <w:t>号）收</w:t>
      </w:r>
      <w:r>
        <w:rPr>
          <w:rFonts w:hint="eastAsia" w:ascii="仿宋_GB2312" w:hAnsi="仿宋_GB2312" w:eastAsia="仿宋_GB2312" w:cs="仿宋_GB2312"/>
          <w:sz w:val="32"/>
          <w:szCs w:val="32"/>
          <w:shd w:val="clear" w:color="030000" w:fill="FFFFFF"/>
        </w:rPr>
        <w:t>悉，经研究，批复如下：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原则同意郯城县城市建设投资集团有限公司通过定向增发的方式收购斯科瑞新材料科技（山东）股份有限公司</w:t>
      </w:r>
      <w:r>
        <w:rPr>
          <w:rFonts w:hint="default" w:ascii="Times New Roman" w:hAnsi="Times New Roman" w:eastAsia="仿宋_GB2312" w:cs="Times New Roman"/>
          <w:sz w:val="32"/>
          <w:szCs w:val="32"/>
        </w:rPr>
        <w:t>51%</w:t>
      </w:r>
      <w:r>
        <w:rPr>
          <w:rFonts w:hint="eastAsia" w:ascii="仿宋_GB2312" w:hAnsi="仿宋_GB2312" w:eastAsia="仿宋_GB2312" w:cs="仿宋_GB2312"/>
          <w:sz w:val="32"/>
          <w:szCs w:val="32"/>
        </w:rPr>
        <w:t>股权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城投集团做好收购工作，</w:t>
      </w:r>
      <w:r>
        <w:rPr>
          <w:rFonts w:hint="eastAsia" w:ascii="仿宋_GB2312" w:hAnsi="仿宋_GB2312" w:eastAsia="仿宋_GB2312" w:cs="仿宋_GB2312"/>
          <w:sz w:val="32"/>
          <w:szCs w:val="32"/>
        </w:rPr>
        <w:t>在今后的经营中，企业要建立规章制度，规范生产经营。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年8月28日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sectPr>
          <w:footerReference r:id="rId11" w:type="default"/>
          <w:pgSz w:w="11906" w:h="16838"/>
          <w:pgMar w:top="1814" w:right="1587" w:bottom="1701" w:left="1587" w:header="851" w:footer="992" w:gutter="0"/>
          <w:pgNumType w:fmt="decimal"/>
          <w:cols w:space="720" w:num="1"/>
          <w:docGrid w:type="lines" w:linePitch="312" w:charSpace="0"/>
        </w:sectPr>
      </w:pPr>
      <w:r>
        <w:rPr>
          <w:rFonts w:hint="eastAsia" w:ascii="仿宋_GB2312" w:hAnsi="仿宋_GB2312" w:eastAsia="仿宋_GB2312" w:cs="仿宋_GB2312"/>
          <w:kern w:val="0"/>
          <w:sz w:val="32"/>
          <w:szCs w:val="32"/>
        </w:rPr>
        <w:t>（此件公开发布）</w:t>
      </w:r>
    </w:p>
    <w:p>
      <w:pPr>
        <w:bidi w:val="0"/>
        <w:jc w:val="center"/>
        <w:rPr>
          <w:rFonts w:hint="default"/>
          <w:lang w:val="en-US" w:eastAsia="zh-CN"/>
        </w:rPr>
      </w:pPr>
    </w:p>
    <w:p>
      <w:pPr>
        <w:pStyle w:val="4"/>
        <w:jc w:val="center"/>
        <w:rPr>
          <w:rFonts w:hint="default"/>
          <w:lang w:val="en-US" w:eastAsia="zh-CN"/>
        </w:rPr>
      </w:pPr>
    </w:p>
    <w:p>
      <w:pPr>
        <w:pStyle w:val="4"/>
        <w:jc w:val="center"/>
        <w:rPr>
          <w:rFonts w:hint="default"/>
          <w:lang w:val="en-US" w:eastAsia="zh-CN"/>
        </w:rPr>
      </w:pPr>
    </w:p>
    <w:p>
      <w:pPr>
        <w:pStyle w:val="4"/>
        <w:jc w:val="center"/>
        <w:rPr>
          <w:rFonts w:hint="default"/>
          <w:lang w:val="en-US" w:eastAsia="zh-CN"/>
        </w:rPr>
      </w:pPr>
    </w:p>
    <w:p>
      <w:pPr>
        <w:pStyle w:val="4"/>
        <w:jc w:val="center"/>
        <w:rPr>
          <w:rFonts w:hint="default"/>
          <w:lang w:val="en-US" w:eastAsia="zh-CN"/>
        </w:rPr>
      </w:pPr>
    </w:p>
    <w:p>
      <w:pPr>
        <w:pStyle w:val="4"/>
        <w:jc w:val="center"/>
        <w:rPr>
          <w:rFonts w:hint="default"/>
          <w:lang w:val="en-US" w:eastAsia="zh-CN"/>
        </w:rPr>
      </w:pPr>
    </w:p>
    <w:p>
      <w:pPr>
        <w:pStyle w:val="4"/>
        <w:rPr>
          <w:rFonts w:hint="default"/>
          <w:lang w:val="en-US" w:eastAsia="zh-CN"/>
        </w:rPr>
      </w:pPr>
    </w:p>
    <w:p>
      <w:pPr>
        <w:ind w:right="-88" w:rightChars="-42"/>
        <w:jc w:val="center"/>
        <w:rPr>
          <w:rFonts w:ascii="文星仿宋" w:hAnsi="文星仿宋" w:eastAsia="文星仿宋"/>
          <w:sz w:val="32"/>
          <w:szCs w:val="32"/>
        </w:rPr>
      </w:pPr>
      <w:bookmarkStart w:id="0" w:name="OLE_LINK1"/>
      <w:r>
        <w:rPr>
          <w:rFonts w:hint="eastAsia" w:ascii="文星仿宋" w:hAnsi="文星仿宋" w:eastAsia="文星仿宋"/>
          <w:sz w:val="32"/>
          <w:szCs w:val="32"/>
        </w:rPr>
        <w:t>郯政字〔</w:t>
      </w:r>
      <w:r>
        <w:rPr>
          <w:rFonts w:hint="eastAsia" w:ascii="文星仿宋" w:hAnsi="文星仿宋" w:eastAsia="文星仿宋"/>
          <w:sz w:val="32"/>
          <w:szCs w:val="32"/>
          <w:lang w:val="en-US" w:eastAsia="zh-CN"/>
        </w:rPr>
        <w:t>2021</w:t>
      </w:r>
      <w:r>
        <w:rPr>
          <w:rFonts w:hint="eastAsia" w:ascii="文星仿宋" w:hAnsi="文星仿宋" w:eastAsia="文星仿宋"/>
          <w:sz w:val="32"/>
          <w:szCs w:val="32"/>
        </w:rPr>
        <w:t>〕</w:t>
      </w:r>
      <w:r>
        <w:rPr>
          <w:rFonts w:hint="eastAsia" w:ascii="文星仿宋" w:hAnsi="文星仿宋" w:eastAsia="文星仿宋"/>
          <w:sz w:val="32"/>
          <w:szCs w:val="32"/>
          <w:lang w:val="en-US" w:eastAsia="zh-CN"/>
        </w:rPr>
        <w:t>48</w:t>
      </w:r>
      <w:r>
        <w:rPr>
          <w:rFonts w:hint="eastAsia" w:ascii="文星仿宋" w:hAnsi="文星仿宋" w:eastAsia="文星仿宋"/>
          <w:sz w:val="32"/>
          <w:szCs w:val="32"/>
        </w:rPr>
        <w:t>号</w:t>
      </w:r>
    </w:p>
    <w:bookmarkEnd w:id="0"/>
    <w:p>
      <w:pPr>
        <w:widowControl/>
        <w:jc w:val="center"/>
        <w:rPr>
          <w:rFonts w:hint="eastAsia" w:ascii="文星标宋" w:hAnsi="Calibri" w:eastAsia="文星标宋" w:cs="宋体"/>
          <w:kern w:val="0"/>
          <w:sz w:val="44"/>
          <w:szCs w:val="44"/>
        </w:rPr>
      </w:pPr>
    </w:p>
    <w:p>
      <w:pPr>
        <w:widowControl/>
        <w:snapToGrid w:val="0"/>
        <w:spacing w:line="560" w:lineRule="exact"/>
        <w:jc w:val="center"/>
        <w:rPr>
          <w:rFonts w:hint="eastAsia" w:ascii="方正小标宋简体" w:eastAsia="方正小标宋简体"/>
          <w:sz w:val="44"/>
          <w:szCs w:val="44"/>
        </w:rPr>
      </w:pPr>
      <w:r>
        <w:rPr>
          <w:rFonts w:hint="eastAsia" w:ascii="方正小标宋简体" w:hAnsi="Calibri" w:eastAsia="方正小标宋简体" w:cs="宋体"/>
          <w:kern w:val="0"/>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关于补充完善全</w:t>
      </w:r>
      <w:r>
        <w:rPr>
          <w:rFonts w:hint="eastAsia" w:ascii="方正小标宋简体" w:hAnsi="方正小标宋简体" w:eastAsia="方正小标宋简体" w:cs="方正小标宋简体"/>
          <w:sz w:val="44"/>
          <w:szCs w:val="44"/>
          <w:lang w:val="en-US" w:eastAsia="zh-CN"/>
        </w:rPr>
        <w:t>县</w:t>
      </w:r>
      <w:r>
        <w:rPr>
          <w:rFonts w:hint="eastAsia" w:ascii="方正小标宋简体" w:hAnsi="方正小标宋简体" w:eastAsia="方正小标宋简体" w:cs="方正小标宋简体"/>
          <w:sz w:val="44"/>
          <w:szCs w:val="44"/>
        </w:rPr>
        <w:t>2021年工作部署</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若干措施的通知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政府各部门，科级以上事业单位，省、市直驻郯各单位，郯城经济开发区管委会，马陵山景区管委会，新村银杏产业开发区管委会：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前期，省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对照国务院《政府工作报告》、国家2021年计划报告和预算报告中提出的发展目标、重大举措和重点部署，增加、调整了2021年部分相关指标，提出了新增重点任务的落实措施。为确保党中央、国务院决策部署和省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工作要求落地落实，根据</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政府工作安排，现将补充完善全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 xml:space="preserve">2021年工作部署若干措施有关事项通知如下。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一、省</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市</w:t>
      </w:r>
      <w:r>
        <w:rPr>
          <w:rFonts w:hint="eastAsia" w:ascii="黑体" w:hAnsi="黑体" w:eastAsia="黑体" w:cs="黑体"/>
          <w:sz w:val="32"/>
          <w:szCs w:val="32"/>
        </w:rPr>
        <w:t>新增和调整部分指标，我</w:t>
      </w:r>
      <w:r>
        <w:rPr>
          <w:rFonts w:hint="eastAsia" w:ascii="黑体" w:hAnsi="黑体" w:eastAsia="黑体" w:cs="黑体"/>
          <w:sz w:val="32"/>
          <w:szCs w:val="32"/>
          <w:lang w:val="en-US" w:eastAsia="zh-CN"/>
        </w:rPr>
        <w:t>县</w:t>
      </w:r>
      <w:r>
        <w:rPr>
          <w:rFonts w:hint="eastAsia" w:ascii="黑体" w:hAnsi="黑体" w:eastAsia="黑体" w:cs="黑体"/>
          <w:sz w:val="32"/>
          <w:szCs w:val="32"/>
        </w:rPr>
        <w:t xml:space="preserve">相关指标新增和调整情况（4项）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（一）新增指标（3项）</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1.2021年全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5G用户普及率达到30%。</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工信局、</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移动</w:t>
      </w:r>
      <w:r>
        <w:rPr>
          <w:rFonts w:hint="eastAsia" w:ascii="仿宋_GB2312" w:hAnsi="仿宋_GB2312" w:eastAsia="仿宋_GB2312" w:cs="仿宋_GB2312"/>
          <w:b/>
          <w:bCs/>
          <w:sz w:val="32"/>
          <w:szCs w:val="32"/>
          <w:lang w:val="en-US" w:eastAsia="zh-CN"/>
        </w:rPr>
        <w:t>公司</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联通</w:t>
      </w:r>
      <w:r>
        <w:rPr>
          <w:rFonts w:hint="eastAsia" w:ascii="仿宋_GB2312" w:hAnsi="仿宋_GB2312" w:eastAsia="仿宋_GB2312" w:cs="仿宋_GB2312"/>
          <w:b/>
          <w:bCs/>
          <w:sz w:val="32"/>
          <w:szCs w:val="32"/>
          <w:lang w:val="en-US" w:eastAsia="zh-CN"/>
        </w:rPr>
        <w:t>公司</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电信</w:t>
      </w:r>
      <w:r>
        <w:rPr>
          <w:rFonts w:hint="eastAsia" w:ascii="仿宋_GB2312" w:hAnsi="仿宋_GB2312" w:eastAsia="仿宋_GB2312" w:cs="仿宋_GB2312"/>
          <w:b/>
          <w:bCs/>
          <w:sz w:val="32"/>
          <w:szCs w:val="32"/>
          <w:lang w:val="en-US" w:eastAsia="zh-CN"/>
        </w:rPr>
        <w:t>公司</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广电</w:t>
      </w:r>
      <w:r>
        <w:rPr>
          <w:rFonts w:hint="eastAsia" w:ascii="仿宋_GB2312" w:hAnsi="仿宋_GB2312" w:eastAsia="仿宋_GB2312" w:cs="仿宋_GB2312"/>
          <w:b/>
          <w:bCs/>
          <w:sz w:val="32"/>
          <w:szCs w:val="32"/>
          <w:lang w:val="en-US" w:eastAsia="zh-CN"/>
        </w:rPr>
        <w:t>公司</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2.2021年全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适龄儿童义务教育入学率100%，九年义务教育巩固率98.5%以上。</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教</w:t>
      </w:r>
      <w:r>
        <w:rPr>
          <w:rFonts w:hint="eastAsia" w:ascii="仿宋_GB2312" w:hAnsi="仿宋_GB2312" w:eastAsia="仿宋_GB2312" w:cs="仿宋_GB2312"/>
          <w:b/>
          <w:bCs/>
          <w:sz w:val="32"/>
          <w:szCs w:val="32"/>
          <w:lang w:val="en-US" w:eastAsia="zh-CN"/>
        </w:rPr>
        <w:t>体</w:t>
      </w:r>
      <w:r>
        <w:rPr>
          <w:rFonts w:hint="eastAsia" w:ascii="仿宋_GB2312" w:hAnsi="仿宋_GB2312" w:eastAsia="仿宋_GB2312" w:cs="仿宋_GB2312"/>
          <w:b/>
          <w:bCs/>
          <w:sz w:val="32"/>
          <w:szCs w:val="32"/>
        </w:rPr>
        <w:t>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3.2021年全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万人高价值发明专利拥有量</w:t>
      </w:r>
      <w:r>
        <w:rPr>
          <w:rFonts w:hint="eastAsia" w:ascii="仿宋_GB2312" w:hAnsi="仿宋_GB2312" w:eastAsia="仿宋_GB2312" w:cs="仿宋_GB2312"/>
          <w:color w:val="auto"/>
          <w:sz w:val="32"/>
          <w:szCs w:val="32"/>
          <w:lang w:val="en-US" w:eastAsia="zh-CN"/>
        </w:rPr>
        <w:t>0.6</w:t>
      </w:r>
      <w:r>
        <w:rPr>
          <w:rFonts w:hint="eastAsia" w:ascii="仿宋_GB2312" w:hAnsi="仿宋_GB2312" w:eastAsia="仿宋_GB2312" w:cs="仿宋_GB2312"/>
          <w:color w:val="auto"/>
          <w:sz w:val="32"/>
          <w:szCs w:val="32"/>
        </w:rPr>
        <w:t>件，增长率</w:t>
      </w:r>
      <w:r>
        <w:rPr>
          <w:rFonts w:hint="eastAsia" w:ascii="仿宋_GB2312" w:hAnsi="仿宋_GB2312" w:eastAsia="仿宋_GB2312" w:cs="仿宋_GB2312"/>
          <w:color w:val="auto"/>
          <w:sz w:val="32"/>
          <w:szCs w:val="32"/>
          <w:lang w:val="en-US" w:eastAsia="zh-CN"/>
        </w:rPr>
        <w:t>200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bCs/>
          <w:color w:val="auto"/>
          <w:sz w:val="32"/>
          <w:szCs w:val="32"/>
        </w:rPr>
        <w:t>（责任单位：</w:t>
      </w:r>
      <w:r>
        <w:rPr>
          <w:rFonts w:hint="eastAsia" w:ascii="仿宋_GB2312" w:hAnsi="仿宋_GB2312" w:eastAsia="仿宋_GB2312" w:cs="仿宋_GB2312"/>
          <w:b/>
          <w:bCs/>
          <w:color w:val="auto"/>
          <w:sz w:val="32"/>
          <w:szCs w:val="32"/>
          <w:lang w:val="en-US" w:eastAsia="zh-CN"/>
        </w:rPr>
        <w:t>县市场监督管理局</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县</w:t>
      </w:r>
      <w:r>
        <w:rPr>
          <w:rFonts w:hint="eastAsia" w:ascii="仿宋_GB2312" w:hAnsi="仿宋_GB2312" w:eastAsia="仿宋_GB2312" w:cs="仿宋_GB2312"/>
          <w:b/>
          <w:bCs/>
          <w:color w:val="auto"/>
          <w:sz w:val="32"/>
          <w:szCs w:val="32"/>
        </w:rPr>
        <w:t>科技局、</w:t>
      </w:r>
      <w:r>
        <w:rPr>
          <w:rFonts w:hint="eastAsia" w:ascii="仿宋_GB2312" w:hAnsi="仿宋_GB2312" w:eastAsia="仿宋_GB2312" w:cs="仿宋_GB2312"/>
          <w:b/>
          <w:bCs/>
          <w:color w:val="auto"/>
          <w:sz w:val="32"/>
          <w:szCs w:val="32"/>
          <w:lang w:val="en-US" w:eastAsia="zh-CN"/>
        </w:rPr>
        <w:t>县</w:t>
      </w:r>
      <w:r>
        <w:rPr>
          <w:rFonts w:hint="eastAsia" w:ascii="仿宋_GB2312" w:hAnsi="仿宋_GB2312" w:eastAsia="仿宋_GB2312" w:cs="仿宋_GB2312"/>
          <w:b/>
          <w:bCs/>
          <w:color w:val="auto"/>
          <w:sz w:val="32"/>
          <w:szCs w:val="32"/>
        </w:rPr>
        <w:t>财政局）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（二）调整指标（1项）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2021年全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每千人医疗卫生机构床位数由</w:t>
      </w:r>
      <w:r>
        <w:rPr>
          <w:rFonts w:hint="eastAsia" w:ascii="仿宋_GB2312" w:hAnsi="仿宋_GB2312" w:eastAsia="仿宋_GB2312" w:cs="仿宋_GB2312"/>
          <w:color w:val="auto"/>
          <w:sz w:val="32"/>
          <w:szCs w:val="32"/>
          <w:lang w:val="en-US" w:eastAsia="zh-CN"/>
        </w:rPr>
        <w:t>3.87</w:t>
      </w:r>
      <w:r>
        <w:rPr>
          <w:rFonts w:hint="eastAsia" w:ascii="仿宋_GB2312" w:hAnsi="仿宋_GB2312" w:eastAsia="仿宋_GB2312" w:cs="仿宋_GB2312"/>
          <w:color w:val="auto"/>
          <w:sz w:val="32"/>
          <w:szCs w:val="32"/>
        </w:rPr>
        <w:t>张提高到</w:t>
      </w:r>
      <w:r>
        <w:rPr>
          <w:rFonts w:hint="eastAsia" w:ascii="仿宋_GB2312" w:hAnsi="仿宋_GB2312" w:eastAsia="仿宋_GB2312" w:cs="仿宋_GB2312"/>
          <w:color w:val="auto"/>
          <w:sz w:val="32"/>
          <w:szCs w:val="32"/>
          <w:lang w:val="en-US" w:eastAsia="zh-CN"/>
        </w:rPr>
        <w:t>4.5</w:t>
      </w:r>
      <w:r>
        <w:rPr>
          <w:rFonts w:hint="eastAsia" w:ascii="仿宋_GB2312" w:hAnsi="仿宋_GB2312" w:eastAsia="仿宋_GB2312" w:cs="仿宋_GB2312"/>
          <w:color w:val="auto"/>
          <w:sz w:val="32"/>
          <w:szCs w:val="32"/>
        </w:rPr>
        <w:t>张。</w:t>
      </w:r>
      <w:r>
        <w:rPr>
          <w:rFonts w:hint="eastAsia" w:ascii="仿宋_GB2312" w:hAnsi="仿宋_GB2312" w:eastAsia="仿宋_GB2312" w:cs="仿宋_GB2312"/>
          <w:b/>
          <w:bCs/>
          <w:color w:val="auto"/>
          <w:sz w:val="32"/>
          <w:szCs w:val="32"/>
        </w:rPr>
        <w:t>（责任单位：</w:t>
      </w:r>
      <w:r>
        <w:rPr>
          <w:rFonts w:hint="eastAsia" w:ascii="仿宋_GB2312" w:hAnsi="仿宋_GB2312" w:eastAsia="仿宋_GB2312" w:cs="仿宋_GB2312"/>
          <w:b/>
          <w:bCs/>
          <w:color w:val="auto"/>
          <w:sz w:val="32"/>
          <w:szCs w:val="32"/>
          <w:lang w:val="en-US" w:eastAsia="zh-CN"/>
        </w:rPr>
        <w:t>县卫健局</w:t>
      </w:r>
      <w:r>
        <w:rPr>
          <w:rFonts w:hint="eastAsia" w:ascii="仿宋_GB2312" w:hAnsi="仿宋_GB2312" w:eastAsia="仿宋_GB2312" w:cs="仿宋_GB2312"/>
          <w:b/>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二、国务院《政府工作报告》新增重点任务落实措施（2</w:t>
      </w:r>
      <w:r>
        <w:rPr>
          <w:rFonts w:hint="eastAsia" w:ascii="黑体" w:hAnsi="黑体" w:eastAsia="黑体" w:cs="黑体"/>
          <w:sz w:val="32"/>
          <w:szCs w:val="32"/>
          <w:lang w:val="en-US" w:eastAsia="zh-CN"/>
        </w:rPr>
        <w:t>2</w:t>
      </w:r>
      <w:r>
        <w:rPr>
          <w:rFonts w:hint="eastAsia" w:ascii="黑体" w:hAnsi="黑体" w:eastAsia="黑体" w:cs="黑体"/>
          <w:sz w:val="32"/>
          <w:szCs w:val="32"/>
        </w:rPr>
        <w:t>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（一）关于“建立常态化财政资金直达机制并扩大范围，将2.8万亿元中央财政资金纳入直达机制、规模明显大于2020年，为市县基层惠企利民提供更加及时有力的财力支持”。</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1）抓好直达资金分配与执行工作，确保直达资金及时拨付到企业、发放到个人。（2）加强数据规范性审核，提高监控系统数据质量。（3）加强直达资金管理，严格按政策规定使用财政直达资金，对直达资金使用情况进行监督核实。（4）完善直达资金监管机制，加强库款保障力度。</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财政局）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（二）关于“继续执行制度性减税政策，延长小规模纳税人增值税优惠等部分阶段性政策执行期限，实施新的结构性减税举措，对冲部分政策调整带来的影响”。</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严格落实个人所得税专项附加扣除等制度性减税政策。按照国家要求，延长“增值税小规模纳税人，适用3%征收率的应税销售收入，减按1%征收率征收增值税”政策执行期限；将小规模纳税人增值税起征点从月销售额10万元提高至15万元；对小型微利企业年应纳税所得额不超过100万元的部分，在《财政部</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税务总局关于实施小微企业普惠性税收减免政策的通知》（财税〔2019〕13号）第二条规定的优惠政策基础上，再减半征收企业所得税；对个体工商户年应纳税所得额不超过100万元的部分，在现行优惠政策基础上，减半征收个人所得税。按照省政府部署，延长小规模纳税人免征房产税、城镇土地使用税政策期限。</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财政局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县税务局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（三）关于“继续降低失业和工伤保险费率，延长以工代训政策实施期限”。</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1）阶段性降低失业保险、工商保险费率政策2021年4月到期后，延续实施1年至2022年4月30日。失业保险费率下调0.5%、工伤保险费率下调50%执行。（2）对2021年1月至12月，中小微企业新吸纳劳动者（含劳务派遣人员）就业（新吸纳时间以本年度首次在本企业缴纳社会保险时间为准）并组织开展以工代训的，按吸纳人数给予企业每月500元/人、最长6个月的以工代训职业培训补贴，政策实施期限至2021年12月31日。对受疫情影响较大的外贸、住宿餐饮、文化旅游、交通运输、批发零售行业，补贴范围扩大到大型企业。</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县人社局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四）关于“延续普惠小微企业贷款延期还本付息政策，加大再贷款再贴现支持普惠金融力度。完善金融机构考核、评价和尽职免责制度。大型商业银行普惠小微企业贷款增长30%以上。2021年务必做到小微企业融资更便利、综合融资成本稳中有降”。</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1）按季度通报辖区银行机构小微企业金融服务情况，对未完成监管目标机构及时采取相应监管督导措施，确保主要指标位居全市前列。按照上级统一安排部署，对郯城农村商业银行、郯城汉源村镇银行2020年度小微金融服务情况开展监管初评，根据反馈强化结果运用。推动大型银行2021年普惠小微企业贷款增长30%以上。（2）督导辖区银行机构完善普惠金融体制机制建设，进一步落地落细尽职免责、不良容忍度等制度，各法人银行机构普惠金融考核占比达到10%以上。继续做好普惠型小微企业贷款综合融资成本管控工作，确保2021年新发放普惠型小微企业贷款利率稳中有降。（3）根据上级工作安排，对县域银行机构存贷比加强引导、定期监测，确保县域存贷比较2020年实现提升。</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县地方金融发展服务中心、县银监办、县人民银行</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（五）关于“允许所有制造业企业参与电力市场化交易，进一步清理用电不合理加价，继续推动降低一般工商业电价”。</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1）配合省推进电力市场建设综合改革试点和现货市场建设，开展现货交易“日清月结”抄表测试做好市场化结算服务，助推制造业企业参与交易。（2）继续降低一般工商业电价，加强转供电价格监管，推动转供电环节价格常态化监管，依法严肃查处价格违法行为，依法依规实施失信联合惩戒。</w:t>
      </w:r>
      <w:r>
        <w:rPr>
          <w:rFonts w:hint="eastAsia" w:ascii="仿宋_GB2312" w:hAnsi="仿宋_GB2312" w:eastAsia="仿宋_GB2312" w:cs="仿宋_GB2312"/>
          <w:b/>
          <w:bCs/>
          <w:sz w:val="32"/>
          <w:szCs w:val="32"/>
        </w:rPr>
        <w:t>（责任单位：县发改局、县市场监管局、县供电公司）</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（六）关于“全面推广高速公路差异化收费，坚决整治违规设置的妨碍货车通行的道路限高限宽设施和检查卡点”。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落实措施：贯彻落实上级整治道路限高限宽设施和检查卡点标准规范、管理办法，建立交通运输、公安、城市管理、生态环境等部门联合工作机制，巩固专项整治工作成效。</w:t>
      </w:r>
      <w:r>
        <w:rPr>
          <w:rFonts w:hint="eastAsia" w:ascii="仿宋_GB2312" w:hAnsi="仿宋_GB2312" w:eastAsia="仿宋_GB2312" w:cs="仿宋_GB2312"/>
          <w:b/>
          <w:bCs/>
          <w:sz w:val="32"/>
          <w:szCs w:val="32"/>
        </w:rPr>
        <w:t>（责任单位：县交通运输局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公安局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rPr>
        <w:t>综合</w:t>
      </w:r>
      <w:r>
        <w:rPr>
          <w:rFonts w:hint="eastAsia" w:ascii="仿宋_GB2312" w:hAnsi="仿宋_GB2312" w:eastAsia="仿宋_GB2312" w:cs="仿宋_GB2312"/>
          <w:b/>
          <w:bCs/>
          <w:sz w:val="32"/>
          <w:szCs w:val="32"/>
          <w:lang w:val="en-US" w:eastAsia="zh-CN"/>
        </w:rPr>
        <w:t>行政</w:t>
      </w:r>
      <w:r>
        <w:rPr>
          <w:rFonts w:hint="eastAsia" w:ascii="仿宋_GB2312" w:hAnsi="仿宋_GB2312" w:eastAsia="仿宋_GB2312" w:cs="仿宋_GB2312"/>
          <w:b/>
          <w:bCs/>
          <w:sz w:val="32"/>
          <w:szCs w:val="32"/>
        </w:rPr>
        <w:t>执法局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市</w:t>
      </w:r>
      <w:r>
        <w:rPr>
          <w:rFonts w:hint="eastAsia" w:ascii="仿宋_GB2312" w:hAnsi="仿宋_GB2312" w:eastAsia="仿宋_GB2312" w:cs="仿宋_GB2312"/>
          <w:b/>
          <w:bCs/>
          <w:sz w:val="32"/>
          <w:szCs w:val="32"/>
        </w:rPr>
        <w:t>生态环境局</w:t>
      </w:r>
      <w:r>
        <w:rPr>
          <w:rFonts w:hint="eastAsia" w:ascii="仿宋_GB2312" w:hAnsi="仿宋_GB2312" w:eastAsia="仿宋_GB2312" w:cs="仿宋_GB2312"/>
          <w:b/>
          <w:bCs/>
          <w:sz w:val="32"/>
          <w:szCs w:val="32"/>
          <w:lang w:val="en-US" w:eastAsia="zh-CN"/>
        </w:rPr>
        <w:t>郯城</w:t>
      </w:r>
      <w:r>
        <w:rPr>
          <w:rFonts w:hint="eastAsia" w:ascii="仿宋_GB2312" w:hAnsi="仿宋_GB2312" w:eastAsia="仿宋_GB2312" w:cs="仿宋_GB2312"/>
          <w:b/>
          <w:bCs/>
          <w:sz w:val="32"/>
          <w:szCs w:val="32"/>
        </w:rPr>
        <w:t>分</w:t>
      </w:r>
      <w:r>
        <w:rPr>
          <w:rFonts w:hint="eastAsia" w:ascii="仿宋_GB2312" w:hAnsi="仿宋_GB2312" w:eastAsia="仿宋_GB2312" w:cs="仿宋_GB2312"/>
          <w:b/>
          <w:bCs/>
          <w:sz w:val="32"/>
          <w:szCs w:val="32"/>
          <w:lang w:val="en-US" w:eastAsia="zh-CN"/>
        </w:rPr>
        <w:t>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（七）关于“构建亲清政商关系，破除制约民营企业发展的各种壁垒。弘扬企业家精神”。</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持续落实山东省民营经济发展促进条例、《关于弘扬企业家精神进一步支持企业家干事创业的十五条措施（试行）》(郯发〔</w:t>
      </w:r>
      <w:r>
        <w:rPr>
          <w:rFonts w:hint="eastAsia" w:ascii="仿宋_GB2312" w:hAnsi="仿宋_GB2312" w:eastAsia="仿宋_GB2312" w:cs="仿宋_GB2312"/>
          <w:color w:val="auto"/>
          <w:sz w:val="32"/>
          <w:szCs w:val="32"/>
          <w:lang w:val="en-US" w:eastAsia="zh-CN"/>
        </w:rPr>
        <w:t>2020</w:t>
      </w:r>
      <w:r>
        <w:rPr>
          <w:rFonts w:hint="eastAsia" w:ascii="仿宋_GB2312" w:hAnsi="仿宋_GB2312" w:eastAsia="仿宋_GB2312" w:cs="仿宋_GB2312"/>
          <w:color w:val="auto"/>
          <w:sz w:val="32"/>
          <w:szCs w:val="32"/>
        </w:rPr>
        <w:t>〕3号)、《关于推进工业经济高质量发展的实施意见（试行》（郯发〔2019〕15号），以县委、县政府名义对郯城县优秀企业家进行奖励，分别授予“郯城县功勋企业家”“郯城县杰出企业家”“郯城县优秀企业家”称号。</w:t>
      </w:r>
      <w:r>
        <w:rPr>
          <w:rFonts w:hint="eastAsia" w:ascii="仿宋_GB2312" w:hAnsi="仿宋_GB2312" w:eastAsia="仿宋_GB2312" w:cs="仿宋_GB2312"/>
          <w:b/>
          <w:bCs/>
          <w:sz w:val="32"/>
          <w:szCs w:val="32"/>
        </w:rPr>
        <w:t>（责任单位：县</w:t>
      </w:r>
      <w:r>
        <w:rPr>
          <w:rFonts w:hint="eastAsia" w:ascii="仿宋_GB2312" w:hAnsi="仿宋_GB2312" w:eastAsia="仿宋_GB2312" w:cs="仿宋_GB2312"/>
          <w:b/>
          <w:bCs/>
          <w:sz w:val="32"/>
          <w:szCs w:val="32"/>
          <w:lang w:val="en-US" w:eastAsia="zh-CN"/>
        </w:rPr>
        <w:t>工信局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（八）关于“健全基础研究稳定支持机制，大幅增加投入，中央本级基础研究支出增长10.6%，用税收优惠机制激励企业加大研发投入，落实扩大经费使用自主权政策”。</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稳步加大财政科技资金投入，集中支持重大关键技术攻关、重大创新平台建设等。鼓励企业积极争取国家、省、市重大科技攻关项目，用好科技成果转化贷款风险补偿、创新债券等科技金融政策，多方面拓宽企业融资渠道，引导企业增加研发投入。（2）认真落实高新技术企业减按15%税率征收企业所得税政策，延续执行企业研发费用加计扣除75%政策，将制造业企业加计扣除比例提高到100%。积极开展专项培训，组织专家服务团队对企业开展全方位跟踪辅导服务，指导科技型中小企业评价入库和高新技术企业认定申报工作。针对制造业企业个性化需求提供政策分类梳理、打包推送和精准辅导，落实“一户一策”税收解决方案，为纳税人提供靶向服务。及时通过网站、微信公众号、12366服务热线、“鲁税通”等途径开展针对性政策宣传辅导，提高高新技术企业所得税优惠和研发费用加计扣除政策覆盖面和精准度。（3）加强省自然科学基金资助体系的政策解读，了解资助的新政策、新渠道。加大对项目申报工作的培训力度，提高项目申报率。积极宣传、发动、引导各依托单位和科研人员争取省级自然科学基金。</w:t>
      </w:r>
      <w:r>
        <w:rPr>
          <w:rFonts w:hint="eastAsia" w:ascii="仿宋_GB2312" w:hAnsi="仿宋_GB2312" w:eastAsia="仿宋_GB2312" w:cs="仿宋_GB2312"/>
          <w:b/>
          <w:bCs/>
          <w:sz w:val="32"/>
          <w:szCs w:val="32"/>
        </w:rPr>
        <w:t>（责任单位：县</w:t>
      </w:r>
      <w:r>
        <w:rPr>
          <w:rFonts w:hint="eastAsia" w:ascii="仿宋_GB2312" w:hAnsi="仿宋_GB2312" w:eastAsia="仿宋_GB2312" w:cs="仿宋_GB2312"/>
          <w:b/>
          <w:bCs/>
          <w:sz w:val="32"/>
          <w:szCs w:val="32"/>
          <w:lang w:val="en-US" w:eastAsia="zh-CN"/>
        </w:rPr>
        <w:t>财政局、县科技局、县税务局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九）关于“增强产业链供应链自主可控能力，实施好产业基础再造工程，发挥大企业引领支撑和中小微企业协作配套作用。发展工业互联网，搭建更多共性技术研发平台，提升中小微企业创新能力和专业化水平。加大５G网络和千兆光网建设力度，丰富应用场景”。</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积极开展工业企业技术改造三年行动（2020－2022年），认真贯彻落实《临沂市市级智能化技术改造专项资金管理暂行办法》，重点支持智能化、绿色化、服务化、高端化、集群化技术改造。对企业实施技术改造购置国内先进水平的生产设备或实施智能化技术改造购置智能化设备及软件系统的项目，给予一次性贴息补助。优选技术水平高、投资强度大、带动作用强的重大技改项目，开展财政资金股权投资。（2）充分发挥好各级各类政府产业基金引导作用，进一步优化调整市新旧动能转换基金政策，鼓励基金管理机构通过“基金+项目”的方式，将市外优质项目落户郯城或把项目企业研发生产基地及主要功能性子公司引入我县，县级引导基金将通过直接跟投、让利等方式给予增资增信支持，并优先参股其设立的项目基金，促进产业链上下游的发展。（3）抓住共建淮海经济区的有利契机，做好淮海基金母基金认缴和子基金设立，并积极推荐我县新材料、新一代信息技术等产业项目。主动对接社会资本，争取更多产业基金支持我县优势产业发展。（4）对通过国家两化融合管理体系贯标的试点企业、工业设备上云、上云标杆企业、列入国家、省工业互联网平台示范试点、5G产业示范试点、“现代优势产业集群+人工智能”示范试点名单的企业给予奖补。（5）积极推进数字化赋能工业，开展企业数字化转型培训班，为全县工业企业搭建数字化转型升级平台渠道，提升服务企业水平，帮助企业解决数字化转型升级中遇到的实际困难，推动传统产业转型升级。（6）聚力新材料产业发展，以现有产业基础，园区空间为框架，实施特色产业集聚工程。依据区域产业特色，实施创新平台建设工程。扎实开展重点新材料首批次应用保险补偿机制。鼓励企业参与创业创新大赛、省重大关键技术攻坚项目申报等活动。研究出台产业发展支持意见，重点在规划、土地、资金、人才和社会服务等方面，全力为新材料产业基地建设发展提供保障。</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县工信局、</w:t>
      </w:r>
      <w:r>
        <w:rPr>
          <w:rFonts w:hint="eastAsia" w:ascii="仿宋_GB2312" w:hAnsi="仿宋_GB2312" w:eastAsia="仿宋_GB2312" w:cs="仿宋_GB2312"/>
          <w:b/>
          <w:bCs/>
          <w:sz w:val="32"/>
          <w:szCs w:val="32"/>
        </w:rPr>
        <w:t>县</w:t>
      </w:r>
      <w:r>
        <w:rPr>
          <w:rFonts w:hint="eastAsia" w:ascii="仿宋_GB2312" w:hAnsi="仿宋_GB2312" w:eastAsia="仿宋_GB2312" w:cs="仿宋_GB2312"/>
          <w:b/>
          <w:bCs/>
          <w:sz w:val="32"/>
          <w:szCs w:val="32"/>
          <w:lang w:val="en-US" w:eastAsia="zh-CN"/>
        </w:rPr>
        <w:t>财政局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（十）关于“加强质量基础设施建设，深入实施质量提升行动，促进产业链上下游标准有效衔接，弘扬工匠精神，以精工细作提升中国制造品质”。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围绕叫响“好品山东”，积极打造“品牌临沂”，制定措施，积极推进制造业、服务业企业高端品牌培育。择优将优势企业向市局提报，力争被推荐进入省高端品牌培育计划。（2）积极开展小微企业质量管理体系认证提升行动，积极推进美全食品、建荣教学设备等优秀案例上报工作。（3）强力推进品牌建设工作，积极做好市长质量奖、山东省优质品牌培育申报。重点对山东阳煤恒通化工有限公司、山东建荣新材料有限公司等10余家企业进行全方位指导。（4）配合省市场监管局做好标准体系改革工作任务及“山东标准”项目建设，配合市市场监管局做好地方标准的制定。推进企业开展标准化良好行为评价，指导企业梳理建立标准体系，提高企业管理和生产标准化水平。</w:t>
      </w:r>
      <w:r>
        <w:rPr>
          <w:rFonts w:hint="eastAsia" w:ascii="仿宋_GB2312" w:hAnsi="仿宋_GB2312" w:eastAsia="仿宋_GB2312" w:cs="仿宋_GB2312"/>
          <w:b/>
          <w:bCs/>
          <w:sz w:val="32"/>
          <w:szCs w:val="32"/>
        </w:rPr>
        <w:t>（责任单位：</w:t>
      </w:r>
      <w:r>
        <w:rPr>
          <w:rFonts w:hint="eastAsia" w:ascii="仿宋_GB2312" w:hAnsi="仿宋_GB2312" w:eastAsia="仿宋_GB2312" w:cs="仿宋_GB2312"/>
          <w:b/>
          <w:bCs/>
          <w:sz w:val="32"/>
          <w:szCs w:val="32"/>
          <w:lang w:val="en-US" w:eastAsia="zh-CN"/>
        </w:rPr>
        <w:t>县市场监督管理局</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（十一）关于“健全城乡流通体系，加快电商、快递进农村，扩大县乡消费”。</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：（1）打造总体规划占地500亩的集商流、物流、资金流和信息流为一体的现代化、多功能物流园区，完成标准化仓储物流分拨中心1个，乡镇物流点14个，村级服务点115个。（2）</w:t>
      </w:r>
      <w:r>
        <w:rPr>
          <w:rFonts w:hint="eastAsia" w:ascii="仿宋_GB2312" w:hAnsi="仿宋_GB2312" w:eastAsia="仿宋_GB2312" w:cs="仿宋_GB2312"/>
          <w:color w:val="auto"/>
          <w:sz w:val="32"/>
          <w:szCs w:val="32"/>
          <w:lang w:val="en-US" w:eastAsia="zh-CN"/>
        </w:rPr>
        <w:t>积极推进</w:t>
      </w:r>
      <w:r>
        <w:rPr>
          <w:rFonts w:hint="eastAsia" w:ascii="仿宋_GB2312" w:hAnsi="仿宋_GB2312" w:eastAsia="仿宋_GB2312" w:cs="仿宋_GB2312"/>
          <w:color w:val="auto"/>
          <w:sz w:val="32"/>
          <w:szCs w:val="32"/>
          <w:lang w:eastAsia="zh-CN"/>
        </w:rPr>
        <w:t>农产品“上行”供应链体系建设，拓宽农产品供货渠道，建设农产品质量溯源体系，加快网销农产品标准化建设。</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责任单位：县商务局、县邮政管理局</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（十二）关于“增加停车场、充电桩、换电站等设施”。</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积极推动停车场设施建设，鼓励党政机关、企事业单位停车场对外开放。完善智慧停车系统平台，加快推进智慧停车系统布局，积极推动公共停车场智能化建设。（2）新建大型公共建筑物停车场、社会公共停车场、公共文化娱乐场所停车场，按照不低于15%的车位比例建设充电设施或预留建设安装条件。（3）在拟建高速公路项目规划设计阶段，加强与项目业主单位沟通，同步规划建设高速公路服务区充电站。积极协调现有高速公路服务区业主单位，结合服务区提升改造，做好服务区内配电站的规划建设工作。</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责任单位：县商务局、县综合行政执法局、县自然资源和规划局、县交通运输局、县公路中心</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（十三）关于“对脱贫县从脱贫之日起设立5年过渡期，保持主要帮扶政策总体稳定”。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rPr>
        <w:t>落实措施</w:t>
      </w:r>
      <w:r>
        <w:rPr>
          <w:rFonts w:hint="eastAsia" w:ascii="仿宋_GB2312" w:hAnsi="仿宋_GB2312" w:eastAsia="仿宋_GB2312" w:cs="仿宋_GB2312"/>
          <w:color w:val="auto"/>
          <w:sz w:val="32"/>
          <w:szCs w:val="32"/>
          <w:lang w:eastAsia="zh-CN"/>
        </w:rPr>
        <w:t>：（1）持续巩固脱贫攻坚成果，用好5年过渡期，严格落实“四个不摘”要求，保持帮扶政策总体稳定，加强返贫致贫监测帮扶。推进重点帮扶区域乡村全面振兴，发展壮大乡村特色产业，提升项目管理水平，规范资金使用监管，实施乡村建设行动，提升公共服务水平。加强农村低收入人口常态化帮扶，分层分类开展帮扶救助，多渠道促进稳岗就业。强化保障措施，巩固拓展脱贫攻坚成果和乡村振兴，健全常态化驻村工作机制；继续落实教育、人才、科技、金融、社会帮扶等各项政策；把巩固拓展脱贫攻坚成果纳入乡镇党政领导班子和领导干部推进乡村振兴战略实绩考核范围。（2）将村级组织运转经费保障作为涉农资金统筹整合的约束性任务给予重点支持，确保县域范围内村均财政补助标准不低于1</w:t>
      </w:r>
      <w:bookmarkStart w:id="3" w:name="_GoBack"/>
      <w:bookmarkEnd w:id="3"/>
      <w:r>
        <w:rPr>
          <w:rFonts w:hint="eastAsia" w:ascii="仿宋_GB2312" w:hAnsi="仿宋_GB2312" w:eastAsia="仿宋_GB2312" w:cs="仿宋_GB2312"/>
          <w:color w:val="auto"/>
          <w:sz w:val="32"/>
          <w:szCs w:val="32"/>
          <w:lang w:eastAsia="zh-CN"/>
        </w:rPr>
        <w:t>1万元。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责任单位：县扶贫办、县财政局、县农业农村局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（十四）关于“稳定种粮农民补贴，适度提高小麦最低收购价”。</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落实措施：落实国家小麦最低收购价政策，将小麦（三等）2021年最低收购价50公斤112元提高至113元。</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县发改局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粮食和物资储备</w:t>
      </w:r>
      <w:r>
        <w:rPr>
          <w:rFonts w:hint="eastAsia" w:ascii="仿宋_GB2312" w:hAnsi="仿宋_GB2312" w:eastAsia="仿宋_GB2312" w:cs="仿宋_GB2312"/>
          <w:b/>
          <w:bCs/>
          <w:sz w:val="32"/>
          <w:szCs w:val="32"/>
          <w:lang w:val="en-US" w:eastAsia="zh-CN"/>
        </w:rPr>
        <w:t>中心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农业农村局）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（十五）关于“加快发展乡村产业，壮大县域经济，拓宽农民就业渠道”。</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实施特色产业培育提升行动。聚焦我县名优特农产品，打造农业优势特色产业集群2个以上；创建省级乡土产业名品村6个，市级农业产业强镇2个。（2）坚持做好现代农业产业园建设。积极争取创建省级现代农业产业园1家。（3）积极发展壮大农业主导产业。重点发展特色作物种植、特色养殖、传统手工业等特色产业，积极培育乡土产业名品村。聚焦农业主导产业、完善产业链条，创建镇域经济特色明显，主导产业产值达到2亿元的农业产业强镇。（4）开展生猪产能恢复工作。举办培训班对县区技术人员进行业务指导。对种猪开展性能测定，提升生产性能。扎实开展重大动物疫病防控工作，确保不发生区域性重大动物疫病。（5）积极开展省级标准化养殖场创建活动。制定创建方案，对达到标准的养殖场进行技术指导服务，力争今年完成1家省级标准化养殖场任务。</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农业农村局）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FF0000"/>
          <w:sz w:val="32"/>
          <w:szCs w:val="32"/>
          <w:lang w:eastAsia="zh-CN"/>
        </w:rPr>
      </w:pPr>
      <w:r>
        <w:rPr>
          <w:rFonts w:hint="eastAsia" w:ascii="楷体_GB2312" w:hAnsi="楷体_GB2312" w:eastAsia="楷体_GB2312" w:cs="楷体_GB2312"/>
          <w:color w:val="000000"/>
          <w:sz w:val="32"/>
          <w:szCs w:val="32"/>
          <w:lang w:eastAsia="zh-CN"/>
        </w:rPr>
        <w:t>（十六）关于“加强对中小外贸企业信贷支持，扩大出口信用保险覆盖面、优化承保和理赔条件，深化贸易外汇收支便利化试点”。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落实措施：（1）推广“鲁贸贷”融资业务，为</w:t>
      </w:r>
      <w:r>
        <w:rPr>
          <w:rFonts w:hint="eastAsia" w:ascii="仿宋_GB2312" w:hAnsi="仿宋_GB2312" w:eastAsia="仿宋_GB2312" w:cs="仿宋_GB2312"/>
          <w:color w:val="auto"/>
          <w:sz w:val="32"/>
          <w:szCs w:val="32"/>
          <w:lang w:val="en-US" w:eastAsia="zh-CN"/>
        </w:rPr>
        <w:t>我县</w:t>
      </w:r>
      <w:r>
        <w:rPr>
          <w:rFonts w:hint="eastAsia" w:ascii="仿宋_GB2312" w:hAnsi="仿宋_GB2312" w:eastAsia="仿宋_GB2312" w:cs="仿宋_GB2312"/>
          <w:color w:val="auto"/>
          <w:sz w:val="32"/>
          <w:szCs w:val="32"/>
          <w:lang w:eastAsia="zh-CN"/>
        </w:rPr>
        <w:t>中小微外贸企业拓宽融资渠道、降低融资成本。（2）鼓励年出口额低于500万美元的企业参加出口信用保险，为企业降低出口贸易风险。</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县商务局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（十七）关于“支持企业开拓多元化市场，优化调整进口税收政策，增加优质产品和服务进口”。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组织企业参加山东出口商品全球系列展洽活动，参与市商务局境内外百展市场开拓专项行动，组织企业参加上述线上或线下境内外展会。（2）扩大大宗商品、高新技术产品和优质民生消费品进口，推荐符合条件的企业申报省级进口“小巨人”企业。</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县商务局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楷体_GB2312" w:hAnsi="楷体_GB2312" w:eastAsia="楷体_GB2312" w:cs="楷体_GB2312"/>
          <w:color w:val="auto"/>
          <w:sz w:val="32"/>
          <w:szCs w:val="32"/>
          <w:lang w:val="en-US" w:eastAsia="zh-CN"/>
        </w:rPr>
      </w:pPr>
      <w:r>
        <w:rPr>
          <w:rFonts w:hint="default" w:ascii="楷体_GB2312" w:hAnsi="楷体_GB2312" w:eastAsia="楷体_GB2312" w:cs="楷体_GB2312"/>
          <w:color w:val="auto"/>
          <w:sz w:val="32"/>
          <w:szCs w:val="32"/>
          <w:lang w:val="en-US" w:eastAsia="zh-CN"/>
        </w:rPr>
        <w:t>（十</w:t>
      </w:r>
      <w:r>
        <w:rPr>
          <w:rFonts w:hint="eastAsia" w:ascii="楷体_GB2312" w:hAnsi="楷体_GB2312" w:eastAsia="楷体_GB2312" w:cs="楷体_GB2312"/>
          <w:color w:val="auto"/>
          <w:sz w:val="32"/>
          <w:szCs w:val="32"/>
          <w:lang w:val="en-US" w:eastAsia="zh-CN"/>
        </w:rPr>
        <w:t>八</w:t>
      </w:r>
      <w:r>
        <w:rPr>
          <w:rFonts w:hint="default" w:ascii="楷体_GB2312" w:hAnsi="楷体_GB2312" w:eastAsia="楷体_GB2312" w:cs="楷体_GB2312"/>
          <w:color w:val="auto"/>
          <w:sz w:val="32"/>
          <w:szCs w:val="32"/>
          <w:lang w:val="en-US" w:eastAsia="zh-CN"/>
        </w:rPr>
        <w:t>）关于“推动服务业有序开放，增设服务业扩大开放综合试点，制定跨境服务贸易负面清单。加强自贸试验区改革开放创新，推动海关特殊监管区域与自贸试验区融合发展，发挥好各类开发区开放平台作用”。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大力推进我县中日韩产业园建设工作，加大招商力度，争取尽早引进一批优质日韩企业入驻园区。（2）认真贯彻落实省财政厅、省商务厅《关于印发省级财政支持外资和外经贸发展有关政策实施细则的通知》（鲁财工〔2020〕26号）及《郯城县促进外资发展实施办法》政策规定，对外商投资企业当年实际账户不足2000万美元的，按当年实际到账外资额的2%给与奖励；超过2000万元美元的（含2000万美元）的，按当年实际到账外资额的3%给予奖励，单个企业奖励金额最高不超过500万元。认真贯彻落实《郯城县促进外贸发展实施办法》，对年度自营出口额500万美元及以上且同比增长的生产型企业，较上一年度出口额每增长100万元美元，给予人民币2万元奖励，增长部分不足100万元美元的，不予奖励，对当年新设立的企业，当年的出口额视为增长部分，单个企业县级奖励最高额不超过200万元美元。对当年新设立且本年度自营出口额达到1000万元美元及以上的贸易型企业，一次性给予人民币10万元奖励，其中每100万元美元在给予人民币2万元奖励，增长部分不足100万美元的，不予奖励。单个企业县级奖励不超过200万人民币。</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县商务局、县财政局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default" w:ascii="楷体_GB2312" w:hAnsi="楷体_GB2312" w:eastAsia="楷体_GB2312" w:cs="楷体_GB2312"/>
          <w:color w:val="auto"/>
          <w:sz w:val="32"/>
          <w:szCs w:val="32"/>
          <w:lang w:val="en-US" w:eastAsia="zh-CN"/>
        </w:rPr>
        <w:t>（</w:t>
      </w:r>
      <w:r>
        <w:rPr>
          <w:rFonts w:hint="eastAsia" w:ascii="楷体_GB2312" w:hAnsi="楷体_GB2312" w:eastAsia="楷体_GB2312" w:cs="楷体_GB2312"/>
          <w:color w:val="auto"/>
          <w:sz w:val="32"/>
          <w:szCs w:val="32"/>
          <w:lang w:val="en-US" w:eastAsia="zh-CN"/>
        </w:rPr>
        <w:t>十九</w:t>
      </w:r>
      <w:r>
        <w:rPr>
          <w:rFonts w:hint="default" w:ascii="楷体_GB2312" w:hAnsi="楷体_GB2312" w:eastAsia="楷体_GB2312" w:cs="楷体_GB2312"/>
          <w:color w:val="auto"/>
          <w:sz w:val="32"/>
          <w:szCs w:val="32"/>
          <w:lang w:val="en-US" w:eastAsia="zh-CN"/>
        </w:rPr>
        <w:t>）关于“扩大环境保护、节能节水等企业所得税优惠目录范围，促进新型节能环保技术、装备和产品研发应用，培育壮大节能环保产业”。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落实措施：（1）根据国家、省要求，推进生态环境导向的开发（EOD）模式试点、环保管家和环境顾问试点工作。（2）2021年年底前，组织我县技术领先、管理先进、信誉度佳的环保企业争创省级环保龙头骨干企业。（3）立足高标准推进节水型社会建设，培育遴选2家节水型标杆企业。（4）制定完善节水激励政策，积极推广合同节水管理模式，推动节水服务产业发展。（5）按照国家、省统一部署，做好扩大环境保护、节能节水等企业所得税优惠目录范围落实工作。</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市生态环境局郯城分局、县水利局、县税务局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楷体_GB2312" w:hAnsi="楷体_GB2312" w:eastAsia="楷体_GB2312" w:cs="楷体_GB2312"/>
          <w:color w:val="auto"/>
          <w:sz w:val="32"/>
          <w:szCs w:val="32"/>
          <w:lang w:val="en-US" w:eastAsia="zh-CN"/>
        </w:rPr>
      </w:pPr>
      <w:r>
        <w:rPr>
          <w:rFonts w:hint="default" w:ascii="楷体_GB2312" w:hAnsi="楷体_GB2312" w:eastAsia="楷体_GB2312" w:cs="楷体_GB2312"/>
          <w:color w:val="auto"/>
          <w:sz w:val="32"/>
          <w:szCs w:val="32"/>
          <w:lang w:val="en-US" w:eastAsia="zh-CN"/>
        </w:rPr>
        <w:t>（二十）关于“完善能源消费双控制度”。</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认真落实省固定资产投资能源和煤炭消费减量替代管理办法，严格执行“两高一资”行业项目能源消费减量替代系数，坚决控制“两高一资”行业增长。（2）研究制定全县能耗“双控”工作总体方案，将具体任务目标分解到各乡镇和重点用能单位，确保完成市下达的目标任务。</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县发改局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楷体_GB2312" w:hAnsi="楷体_GB2312" w:eastAsia="楷体_GB2312" w:cs="楷体_GB2312"/>
          <w:color w:val="auto"/>
          <w:sz w:val="32"/>
          <w:szCs w:val="32"/>
          <w:lang w:val="en-US" w:eastAsia="zh-CN"/>
        </w:rPr>
      </w:pPr>
      <w:r>
        <w:rPr>
          <w:rFonts w:hint="default" w:ascii="楷体_GB2312" w:hAnsi="楷体_GB2312" w:eastAsia="楷体_GB2312" w:cs="楷体_GB2312"/>
          <w:color w:val="auto"/>
          <w:sz w:val="32"/>
          <w:szCs w:val="32"/>
          <w:lang w:val="en-US" w:eastAsia="zh-CN"/>
        </w:rPr>
        <w:t>（二十</w:t>
      </w:r>
      <w:r>
        <w:rPr>
          <w:rFonts w:hint="eastAsia" w:ascii="楷体_GB2312" w:hAnsi="楷体_GB2312" w:eastAsia="楷体_GB2312" w:cs="楷体_GB2312"/>
          <w:color w:val="auto"/>
          <w:sz w:val="32"/>
          <w:szCs w:val="32"/>
          <w:lang w:val="en-US" w:eastAsia="zh-CN"/>
        </w:rPr>
        <w:t>一</w:t>
      </w:r>
      <w:r>
        <w:rPr>
          <w:rFonts w:hint="default" w:ascii="楷体_GB2312" w:hAnsi="楷体_GB2312" w:eastAsia="楷体_GB2312" w:cs="楷体_GB2312"/>
          <w:color w:val="auto"/>
          <w:sz w:val="32"/>
          <w:szCs w:val="32"/>
          <w:lang w:val="en-US" w:eastAsia="zh-CN"/>
        </w:rPr>
        <w:t xml:space="preserve">）关于“发展更加公平更高质量的教育，进一步提高学前教育入园率，完善普惠性学前教育保障机制，支持社会力量办园。鼓励高中阶段学校多样化发展。增强职业教育适应性，深化产教融合、校企合作，深入实施职业技能等级证书制度。办好特殊教育、继续教育，支持和规范民办教育发展”。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color w:val="auto"/>
          <w:sz w:val="32"/>
          <w:szCs w:val="32"/>
          <w:lang w:eastAsia="zh-CN"/>
        </w:rPr>
        <w:t>落实措施：（1）2021年，确保我县每个乡镇至少有一所公办中心幼儿园。加大公办园发展力度，扶持普惠性民办幼儿园发展，扩大普惠性学前教育资源。（2）根据价格管理规定，加快推进办学特色普通高中学校开展收费调整工作，提高办学特色普通高中学校经费保障水平。（3）积极推进我县产教融合示范区建设，加快临沂市电子科技学校建设。（4）积极</w:t>
      </w:r>
      <w:r>
        <w:rPr>
          <w:rFonts w:hint="eastAsia" w:ascii="仿宋_GB2312" w:hAnsi="仿宋_GB2312" w:eastAsia="仿宋_GB2312" w:cs="仿宋_GB2312"/>
          <w:color w:val="auto"/>
          <w:sz w:val="32"/>
          <w:szCs w:val="32"/>
          <w:lang w:val="en-US" w:eastAsia="zh-CN"/>
        </w:rPr>
        <w:t>推动</w:t>
      </w:r>
      <w:r>
        <w:rPr>
          <w:rFonts w:hint="eastAsia" w:ascii="仿宋_GB2312" w:hAnsi="仿宋_GB2312" w:eastAsia="仿宋_GB2312" w:cs="仿宋_GB2312"/>
          <w:color w:val="auto"/>
          <w:sz w:val="32"/>
          <w:szCs w:val="32"/>
          <w:lang w:eastAsia="zh-CN"/>
        </w:rPr>
        <w:t>临沂市电子科技学校建设京东校园馆。</w:t>
      </w:r>
      <w:r>
        <w:rPr>
          <w:rFonts w:hint="eastAsia" w:ascii="仿宋_GB2312" w:hAnsi="仿宋_GB2312" w:eastAsia="仿宋_GB2312" w:cs="仿宋_GB2312"/>
          <w:b/>
          <w:bCs/>
          <w:color w:val="auto"/>
          <w:sz w:val="32"/>
          <w:szCs w:val="32"/>
          <w:lang w:eastAsia="zh-CN"/>
        </w:rPr>
        <w:t>（责任单位：</w:t>
      </w:r>
      <w:r>
        <w:rPr>
          <w:rFonts w:hint="eastAsia" w:ascii="仿宋_GB2312" w:hAnsi="仿宋_GB2312" w:eastAsia="仿宋_GB2312" w:cs="仿宋_GB2312"/>
          <w:b/>
          <w:bCs/>
          <w:color w:val="auto"/>
          <w:sz w:val="32"/>
          <w:szCs w:val="32"/>
          <w:lang w:val="en-US" w:eastAsia="zh-CN"/>
        </w:rPr>
        <w:t>县教体局、县发改局、临沂市电子科技学校</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（二十</w:t>
      </w:r>
      <w:r>
        <w:rPr>
          <w:rFonts w:hint="eastAsia" w:ascii="楷体_GB2312" w:hAnsi="楷体_GB2312" w:eastAsia="楷体_GB2312" w:cs="楷体_GB2312"/>
          <w:color w:val="auto"/>
          <w:sz w:val="32"/>
          <w:szCs w:val="32"/>
          <w:lang w:val="en-US" w:eastAsia="zh-CN"/>
        </w:rPr>
        <w:t>二</w:t>
      </w:r>
      <w:r>
        <w:rPr>
          <w:rFonts w:hint="eastAsia" w:ascii="楷体_GB2312" w:hAnsi="楷体_GB2312" w:eastAsia="楷体_GB2312" w:cs="楷体_GB2312"/>
          <w:color w:val="auto"/>
          <w:sz w:val="32"/>
          <w:szCs w:val="32"/>
          <w:lang w:eastAsia="zh-CN"/>
        </w:rPr>
        <w:t>）关于“促进‘互联网＋医疗健康’规范发展”。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落实措施：九月底前推动电子健康卡全面替代医疗机构就诊卡，覆盖全县二级以上医疗机构，实现卫生健康行业内一码通用。年底前实现全县二级以上公立医院纳入便民惠民服务平台。</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县卫健局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sz w:val="32"/>
          <w:szCs w:val="32"/>
          <w:lang w:eastAsia="zh-CN"/>
        </w:rPr>
        <w:t>三、国家2021年计划报告新增重点任务落实措施（</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（一）关于“深入推进全国一体化大数据中心体系建设，做好数据中心建设布局，促进数据资源有序流通和创新应用”。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落实措施：根据国家、省、市要求，落实数据中心用电补贴政策，组织数据中心积极申报用电补助资金。</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大数据中心、</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发改局、</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 xml:space="preserve">供电公司）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（二）关于“深化科技成果使用权、处置权、收益权改革”。</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落实措施：学习借鉴省改革经验做法，探索推进市属高校、科研院所相关改革。</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w:t>
      </w:r>
      <w:r>
        <w:rPr>
          <w:rFonts w:hint="eastAsia" w:ascii="仿宋_GB2312" w:hAnsi="仿宋_GB2312" w:eastAsia="仿宋_GB2312" w:cs="仿宋_GB2312"/>
          <w:b/>
          <w:bCs/>
          <w:sz w:val="32"/>
          <w:szCs w:val="32"/>
          <w:lang w:eastAsia="zh-CN"/>
        </w:rPr>
        <w:t>科技局）</w:t>
      </w:r>
      <w:r>
        <w:rPr>
          <w:rFonts w:hint="eastAsia" w:ascii="仿宋_GB2312" w:hAnsi="仿宋_GB2312" w:eastAsia="仿宋_GB2312" w:cs="仿宋_GB2312"/>
          <w:color w:val="auto"/>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（三）关于“设立知识产权和科技成果产权交易机构”。</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根据省、市工作安排，大力宣传山东知识产权运营中心相关服务项目，积极推进知识产权转移转化实施，引导有需求企业、个人入住山东知识产权运营中心平台，参与知识产权交易，通过专利转移转化推动企业高质量发展。</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县市场监督管理局</w:t>
      </w:r>
      <w:r>
        <w:rPr>
          <w:rFonts w:hint="eastAsia" w:ascii="仿宋_GB2312" w:hAnsi="仿宋_GB2312" w:eastAsia="仿宋_GB2312" w:cs="仿宋_GB2312"/>
          <w:b/>
          <w:bCs/>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四、国家2021年预算报告新增重点任务落实措施（3项）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（一）关于“适度减少新增地方政府专项债券规模”。</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落实“资金跟着项目走”要求，强化专项债券项目库管理，扎实做好专项债券筛选、储备、申报工作，加强对上沟通联系，最大限度争取中央专项债券资金支持。（2）精心做好发行准备工作，确保上报省的发债资料一次性通过。紧跟省进度安排，争取我市专项债券早发行、早使用、早见效。（3）加强监督管理，提高债券资金使用绩效，不断加快专项债券支出进度，尽快形成实物工作量，充分发挥专项债券稳投资、扩内需、保就业、惠民生、促发展的作用。</w:t>
      </w:r>
      <w:r>
        <w:rPr>
          <w:rFonts w:hint="eastAsia" w:ascii="仿宋_GB2312" w:hAnsi="仿宋_GB2312" w:eastAsia="仿宋_GB2312" w:cs="仿宋_GB2312"/>
          <w:b/>
          <w:bCs/>
          <w:sz w:val="32"/>
          <w:szCs w:val="32"/>
          <w:lang w:eastAsia="zh-CN"/>
        </w:rPr>
        <w:t>（责任单位：</w:t>
      </w:r>
      <w:r>
        <w:rPr>
          <w:rFonts w:hint="eastAsia" w:ascii="仿宋_GB2312" w:hAnsi="仿宋_GB2312" w:eastAsia="仿宋_GB2312" w:cs="仿宋_GB2312"/>
          <w:b/>
          <w:bCs/>
          <w:sz w:val="32"/>
          <w:szCs w:val="32"/>
          <w:lang w:val="en-US" w:eastAsia="zh-CN"/>
        </w:rPr>
        <w:t>县财政局、县发改局</w:t>
      </w:r>
      <w:r>
        <w:rPr>
          <w:rFonts w:hint="eastAsia" w:ascii="仿宋_GB2312" w:hAnsi="仿宋_GB2312" w:eastAsia="仿宋_GB2312" w:cs="仿宋_GB2312"/>
          <w:b/>
          <w:bCs/>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（二）关于“支持做好碳达峰、碳中和工作”。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落实措施：（1）全面落实上级新能源汽车推广应用政策。全面落实新能源货车财政奖补政策和便利通行政策，推动新能源城配物流车辆发展。2021年9月30日前完成2721辆国三柴油货车淘汰任务。（2）按照省加氢站建设审批管理办法要求开展好有关工作。（3）积极争创全省生物质能源推广应用重点县和绿色能源示范村镇，推动利用绿色能源。</w:t>
      </w:r>
      <w:r>
        <w:rPr>
          <w:rFonts w:hint="eastAsia" w:ascii="仿宋_GB2312" w:hAnsi="仿宋_GB2312" w:eastAsia="仿宋_GB2312" w:cs="仿宋_GB2312"/>
          <w:color w:val="000000"/>
          <w:sz w:val="32"/>
          <w:szCs w:val="32"/>
          <w:lang w:eastAsia="zh-CN"/>
        </w:rPr>
        <w:t>（4）落实国土绿化行动，争取上级扶持资金、落实市级森林生态效益补偿机制，支持造林、森林抚育、林木良种培育等造林绿化工程，2021年度完成退化林修复任务100亩。（5）积极参与国家碳排放权交易，重点做好温室气</w:t>
      </w:r>
      <w:r>
        <w:rPr>
          <w:rFonts w:hint="eastAsia" w:ascii="仿宋_GB2312" w:hAnsi="仿宋_GB2312" w:eastAsia="仿宋_GB2312" w:cs="仿宋_GB2312"/>
          <w:color w:val="auto"/>
          <w:sz w:val="32"/>
          <w:szCs w:val="32"/>
          <w:lang w:eastAsia="zh-CN"/>
        </w:rPr>
        <w:t>体重点排放企业纳管、上市交易企业配额分配，配合省做好碳排放核查和排放单位监督管理等工作。</w:t>
      </w:r>
      <w:r>
        <w:rPr>
          <w:rFonts w:hint="eastAsia" w:ascii="仿宋_GB2312" w:hAnsi="仿宋_GB2312" w:eastAsia="仿宋_GB2312" w:cs="仿宋_GB2312"/>
          <w:b/>
          <w:bCs/>
          <w:sz w:val="32"/>
          <w:szCs w:val="32"/>
          <w:lang w:eastAsia="zh-CN"/>
        </w:rPr>
        <w:t>（责任单位：县发</w:t>
      </w:r>
      <w:r>
        <w:rPr>
          <w:rFonts w:hint="eastAsia" w:ascii="仿宋_GB2312" w:hAnsi="仿宋_GB2312" w:eastAsia="仿宋_GB2312" w:cs="仿宋_GB2312"/>
          <w:b/>
          <w:bCs/>
          <w:sz w:val="32"/>
          <w:szCs w:val="32"/>
          <w:lang w:val="en-US" w:eastAsia="zh-CN"/>
        </w:rPr>
        <w:t>改</w:t>
      </w:r>
      <w:r>
        <w:rPr>
          <w:rFonts w:hint="eastAsia" w:ascii="仿宋_GB2312" w:hAnsi="仿宋_GB2312" w:eastAsia="仿宋_GB2312" w:cs="仿宋_GB2312"/>
          <w:b/>
          <w:bCs/>
          <w:sz w:val="32"/>
          <w:szCs w:val="32"/>
          <w:lang w:eastAsia="zh-CN"/>
        </w:rPr>
        <w:t>局、县工信局、县财政局、</w:t>
      </w:r>
      <w:r>
        <w:rPr>
          <w:rFonts w:hint="eastAsia" w:ascii="仿宋_GB2312" w:hAnsi="仿宋_GB2312" w:eastAsia="仿宋_GB2312" w:cs="仿宋_GB2312"/>
          <w:b/>
          <w:bCs/>
          <w:color w:val="000000"/>
          <w:sz w:val="32"/>
          <w:szCs w:val="32"/>
          <w:lang w:val="en-US" w:eastAsia="zh-CN"/>
        </w:rPr>
        <w:t>县自然资源和规划局</w:t>
      </w:r>
      <w:r>
        <w:rPr>
          <w:rFonts w:hint="eastAsia" w:ascii="仿宋_GB2312" w:hAnsi="仿宋_GB2312" w:eastAsia="仿宋_GB2312" w:cs="仿宋_GB2312"/>
          <w:b/>
          <w:bCs/>
          <w:sz w:val="32"/>
          <w:szCs w:val="32"/>
          <w:lang w:eastAsia="zh-CN"/>
        </w:rPr>
        <w:t>、县商务局、县公安局、县住建局、县交通运输局、</w:t>
      </w:r>
      <w:r>
        <w:rPr>
          <w:rFonts w:hint="eastAsia" w:ascii="仿宋_GB2312" w:hAnsi="仿宋_GB2312" w:eastAsia="仿宋_GB2312" w:cs="仿宋_GB2312"/>
          <w:b/>
          <w:bCs/>
          <w:sz w:val="32"/>
          <w:szCs w:val="32"/>
          <w:lang w:val="en-US" w:eastAsia="zh-CN"/>
        </w:rPr>
        <w:t>市</w:t>
      </w:r>
      <w:r>
        <w:rPr>
          <w:rFonts w:hint="eastAsia" w:ascii="仿宋_GB2312" w:hAnsi="仿宋_GB2312" w:eastAsia="仿宋_GB2312" w:cs="仿宋_GB2312"/>
          <w:b/>
          <w:bCs/>
          <w:sz w:val="32"/>
          <w:szCs w:val="32"/>
          <w:lang w:eastAsia="zh-CN"/>
        </w:rPr>
        <w:t>生态环境局</w:t>
      </w:r>
      <w:r>
        <w:rPr>
          <w:rFonts w:hint="eastAsia" w:ascii="仿宋_GB2312" w:hAnsi="仿宋_GB2312" w:eastAsia="仿宋_GB2312" w:cs="仿宋_GB2312"/>
          <w:b/>
          <w:bCs/>
          <w:sz w:val="32"/>
          <w:szCs w:val="32"/>
          <w:lang w:val="en-US" w:eastAsia="zh-CN"/>
        </w:rPr>
        <w:t>郯城分局</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（三）关于“积极推进税制改革”。</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color w:val="auto"/>
          <w:sz w:val="32"/>
          <w:szCs w:val="32"/>
          <w:lang w:eastAsia="zh-CN"/>
        </w:rPr>
        <w:t>落实措施：（1）积极配合省开展契税政策调研，加强政策宣传解读。（2）密切跟踪后移消费税征收环节改革动向，积极推动我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相关工作。（3）积极配合国家和省做好印花税、关税等税收立法相关工作，做好税法实施相关准备工作。</w:t>
      </w:r>
      <w:r>
        <w:rPr>
          <w:rFonts w:hint="eastAsia" w:ascii="仿宋_GB2312" w:hAnsi="仿宋_GB2312" w:eastAsia="仿宋_GB2312" w:cs="仿宋_GB2312"/>
          <w:b/>
          <w:bCs/>
          <w:sz w:val="32"/>
          <w:szCs w:val="32"/>
          <w:lang w:eastAsia="zh-CN"/>
        </w:rPr>
        <w:t>（责任单位：县</w:t>
      </w:r>
      <w:r>
        <w:rPr>
          <w:rFonts w:hint="eastAsia" w:ascii="仿宋_GB2312" w:hAnsi="仿宋_GB2312" w:eastAsia="仿宋_GB2312" w:cs="仿宋_GB2312"/>
          <w:b/>
          <w:bCs/>
          <w:sz w:val="32"/>
          <w:szCs w:val="32"/>
          <w:lang w:val="en-US" w:eastAsia="zh-CN"/>
        </w:rPr>
        <w:t>财政</w:t>
      </w:r>
      <w:r>
        <w:rPr>
          <w:rFonts w:hint="eastAsia" w:ascii="仿宋_GB2312" w:hAnsi="仿宋_GB2312" w:eastAsia="仿宋_GB2312" w:cs="仿宋_GB2312"/>
          <w:b/>
          <w:bCs/>
          <w:sz w:val="32"/>
          <w:szCs w:val="32"/>
          <w:lang w:eastAsia="zh-CN"/>
        </w:rPr>
        <w:t>局、</w:t>
      </w:r>
      <w:r>
        <w:rPr>
          <w:rFonts w:hint="eastAsia" w:ascii="仿宋_GB2312" w:hAnsi="仿宋_GB2312" w:eastAsia="仿宋_GB2312" w:cs="仿宋_GB2312"/>
          <w:b/>
          <w:bCs/>
          <w:sz w:val="32"/>
          <w:szCs w:val="32"/>
          <w:lang w:val="en-US" w:eastAsia="zh-CN"/>
        </w:rPr>
        <w:t>县税务局</w:t>
      </w:r>
      <w:r>
        <w:rPr>
          <w:rFonts w:hint="eastAsia" w:ascii="仿宋_GB2312" w:hAnsi="仿宋_GB2312" w:eastAsia="仿宋_GB2312" w:cs="仿宋_GB2312"/>
          <w:b/>
          <w:bCs/>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val="0"/>
        <w:overflowPunct/>
        <w:topLinePunct w:val="0"/>
        <w:autoSpaceDE/>
        <w:autoSpaceDN/>
        <w:bidi w:val="0"/>
        <w:adjustRightInd/>
        <w:snapToGrid w:val="0"/>
        <w:spacing w:line="600" w:lineRule="exact"/>
        <w:ind w:firstLine="640" w:firstLineChars="200"/>
        <w:jc w:val="righ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郯城县人民政府    </w:t>
      </w:r>
    </w:p>
    <w:p>
      <w:pPr>
        <w:keepNext w:val="0"/>
        <w:keepLines w:val="0"/>
        <w:pageBreakBefore w:val="0"/>
        <w:widowControl w:val="0"/>
        <w:kinsoku/>
        <w:wordWrap w:val="0"/>
        <w:overflowPunct/>
        <w:topLinePunct w:val="0"/>
        <w:autoSpaceDE/>
        <w:autoSpaceDN/>
        <w:bidi w:val="0"/>
        <w:adjustRightInd/>
        <w:snapToGrid w:val="0"/>
        <w:spacing w:line="60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2021年9月1日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left"/>
        <w:textAlignment w:val="auto"/>
        <w:rPr>
          <w:rFonts w:hint="eastAsia" w:ascii="仿宋_GB2312" w:hAnsi="Calibri" w:eastAsia="仿宋_GB2312" w:cs="Times New Roman"/>
          <w:sz w:val="32"/>
          <w:szCs w:val="32"/>
          <w:lang w:val="en-US" w:eastAsia="zh-CN"/>
        </w:rPr>
        <w:sectPr>
          <w:pgSz w:w="11906" w:h="16838"/>
          <w:pgMar w:top="1814" w:right="1587" w:bottom="1701" w:left="1587" w:header="851" w:footer="992" w:gutter="0"/>
          <w:pgNumType w:fmt="decimal"/>
          <w:cols w:space="720" w:num="1"/>
          <w:docGrid w:type="lines" w:linePitch="312" w:charSpace="0"/>
        </w:sectPr>
      </w:pPr>
      <w:r>
        <w:rPr>
          <w:rFonts w:hint="eastAsia" w:ascii="仿宋_GB2312" w:hAnsi="Calibri" w:eastAsia="仿宋_GB2312" w:cs="Times New Roman"/>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w:t>
      </w:r>
      <w:r>
        <w:rPr>
          <w:rFonts w:hint="eastAsia" w:ascii="Times New Roman" w:hAnsi="Times New Roman" w:eastAsia="仿宋_GB2312" w:cs="Times New Roman"/>
          <w:sz w:val="32"/>
          <w:szCs w:val="32"/>
          <w:shd w:val="clear" w:color="auto" w:fill="FFFFFF"/>
          <w:lang w:val="en-US" w:eastAsia="zh-CN"/>
        </w:rPr>
        <w:t>〔2021〕50号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关于成立</w:t>
      </w:r>
      <w:r>
        <w:rPr>
          <w:rFonts w:ascii="Times New Roman" w:hAnsi="Times New Roman" w:eastAsia="方正小标宋简体" w:cs="Times New Roman"/>
          <w:sz w:val="44"/>
          <w:szCs w:val="44"/>
          <w:shd w:val="clear" w:color="auto" w:fill="FFFFFF"/>
        </w:rPr>
        <w:t>郯城</w:t>
      </w:r>
      <w:r>
        <w:rPr>
          <w:rFonts w:hint="eastAsia" w:ascii="Times New Roman" w:hAnsi="Times New Roman" w:eastAsia="方正小标宋简体" w:cs="Times New Roman"/>
          <w:sz w:val="44"/>
          <w:szCs w:val="44"/>
          <w:shd w:val="clear" w:color="auto" w:fill="FFFFFF"/>
          <w:lang w:val="en-US" w:eastAsia="zh-CN"/>
        </w:rPr>
        <w:t>县交投建设发展集团</w:t>
      </w:r>
      <w:r>
        <w:rPr>
          <w:rFonts w:ascii="Times New Roman" w:hAnsi="Times New Roman" w:eastAsia="方正小标宋简体" w:cs="Times New Roman"/>
          <w:sz w:val="44"/>
          <w:szCs w:val="44"/>
          <w:shd w:val="clear" w:color="auto" w:fill="FFFFFF"/>
        </w:rPr>
        <w:t>有限公司</w:t>
      </w:r>
      <w:r>
        <w:rPr>
          <w:rFonts w:hint="eastAsia" w:ascii="方正小标宋简体" w:hAnsi="方正小标宋简体" w:eastAsia="方正小标宋简体" w:cs="方正小标宋简体"/>
          <w:sz w:val="44"/>
          <w:szCs w:val="44"/>
          <w:lang w:val="en-US" w:eastAsia="zh-CN"/>
        </w:rPr>
        <w:t>的批  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kern w:val="0"/>
          <w:sz w:val="32"/>
          <w:szCs w:val="32"/>
          <w:shd w:val="clear" w:fill="FFFFFF"/>
          <w:lang w:val="en-US" w:eastAsia="zh-CN" w:bidi="ar"/>
        </w:rPr>
        <w:t>县国有资产管理服务中心：</w:t>
      </w:r>
    </w:p>
    <w:p>
      <w:pPr>
        <w:keepNext w:val="0"/>
        <w:keepLines w:val="0"/>
        <w:pageBreakBefore w:val="0"/>
        <w:widowControl w:val="0"/>
        <w:kinsoku/>
        <w:wordWrap/>
        <w:overflowPunct/>
        <w:topLinePunct w:val="0"/>
        <w:autoSpaceDE/>
        <w:autoSpaceDN/>
        <w:bidi w:val="0"/>
        <w:adjustRightInd/>
        <w:snapToGrid/>
        <w:spacing w:line="600" w:lineRule="exact"/>
        <w:ind w:left="105" w:leftChars="50" w:firstLine="640" w:firstLineChars="200"/>
        <w:textAlignment w:val="auto"/>
        <w:rPr>
          <w:rFonts w:hint="eastAsia" w:ascii="仿宋_GB2312" w:hAnsi="仿宋_GB2312" w:eastAsia="仿宋_GB2312" w:cs="仿宋_GB2312"/>
          <w:sz w:val="32"/>
          <w:szCs w:val="32"/>
          <w:shd w:val="clear" w:color="030000" w:fill="FFFFFF"/>
          <w:lang w:val="en-US" w:eastAsia="zh-CN"/>
        </w:rPr>
      </w:pPr>
      <w:r>
        <w:rPr>
          <w:rFonts w:hint="eastAsia" w:ascii="仿宋_GB2312" w:hAnsi="仿宋_GB2312" w:eastAsia="仿宋_GB2312" w:cs="仿宋_GB2312"/>
          <w:sz w:val="32"/>
          <w:szCs w:val="32"/>
          <w:lang w:val="en-US" w:eastAsia="zh-CN"/>
        </w:rPr>
        <w:t>你单位《</w:t>
      </w:r>
      <w:r>
        <w:rPr>
          <w:rFonts w:hint="eastAsia" w:ascii="Times New Roman" w:hAnsi="Times New Roman" w:eastAsia="仿宋_GB2312" w:cs="Times New Roman"/>
          <w:sz w:val="32"/>
          <w:szCs w:val="32"/>
          <w:shd w:val="clear" w:color="auto" w:fill="FFFFFF"/>
          <w:lang w:val="en-US" w:eastAsia="zh-CN"/>
        </w:rPr>
        <w:t>关于成立</w:t>
      </w:r>
      <w:r>
        <w:rPr>
          <w:rFonts w:ascii="Times New Roman" w:hAnsi="Times New Roman" w:eastAsia="仿宋_GB2312" w:cs="Times New Roman"/>
          <w:sz w:val="32"/>
          <w:szCs w:val="32"/>
          <w:shd w:val="clear" w:color="auto" w:fill="FFFFFF"/>
        </w:rPr>
        <w:t>郯城</w:t>
      </w:r>
      <w:r>
        <w:rPr>
          <w:rFonts w:hint="eastAsia" w:ascii="Times New Roman" w:hAnsi="Times New Roman" w:eastAsia="仿宋_GB2312" w:cs="Times New Roman"/>
          <w:sz w:val="32"/>
          <w:szCs w:val="32"/>
          <w:shd w:val="clear" w:color="auto" w:fill="FFFFFF"/>
          <w:lang w:val="en-US" w:eastAsia="zh-CN"/>
        </w:rPr>
        <w:t>县交投建设发展</w:t>
      </w:r>
      <w:r>
        <w:rPr>
          <w:rFonts w:ascii="Times New Roman" w:hAnsi="Times New Roman" w:eastAsia="仿宋_GB2312" w:cs="Times New Roman"/>
          <w:sz w:val="32"/>
          <w:szCs w:val="32"/>
          <w:shd w:val="clear" w:color="auto" w:fill="FFFFFF"/>
        </w:rPr>
        <w:t>集团有限公司</w:t>
      </w:r>
      <w:r>
        <w:rPr>
          <w:rFonts w:hint="eastAsia" w:ascii="Times New Roman" w:hAnsi="Times New Roman" w:eastAsia="仿宋_GB2312" w:cs="Times New Roman"/>
          <w:sz w:val="32"/>
          <w:szCs w:val="32"/>
          <w:shd w:val="clear" w:color="auto" w:fill="FFFFFF"/>
          <w:lang w:val="en-US" w:eastAsia="zh-CN"/>
        </w:rPr>
        <w:t>的请示》（</w:t>
      </w:r>
      <w:r>
        <w:rPr>
          <w:rFonts w:hint="eastAsia" w:ascii="仿宋_GB2312" w:hAnsi="仿宋_GB2312" w:eastAsia="仿宋_GB2312" w:cs="仿宋_GB2312"/>
          <w:sz w:val="32"/>
          <w:szCs w:val="32"/>
          <w:lang w:val="en-US" w:eastAsia="zh-CN"/>
        </w:rPr>
        <w:t>郯国资</w:t>
      </w:r>
      <w:r>
        <w:rPr>
          <w:rFonts w:hint="eastAsia" w:ascii="Times New Roman" w:hAnsi="Times New Roman" w:eastAsia="仿宋_GB2312" w:cs="Times New Roman"/>
          <w:sz w:val="32"/>
          <w:szCs w:val="32"/>
          <w:shd w:val="clear" w:color="auto" w:fill="FFFFFF"/>
          <w:lang w:val="en-US" w:eastAsia="zh-CN"/>
        </w:rPr>
        <w:t>〔2021〕59</w:t>
      </w:r>
      <w:r>
        <w:rPr>
          <w:rFonts w:hint="eastAsia" w:ascii="仿宋_GB2312" w:hAnsi="仿宋_GB2312" w:eastAsia="仿宋_GB2312" w:cs="仿宋_GB2312"/>
          <w:sz w:val="32"/>
          <w:szCs w:val="32"/>
          <w:lang w:val="en-US" w:eastAsia="zh-CN"/>
        </w:rPr>
        <w:t>号）收</w:t>
      </w:r>
      <w:r>
        <w:rPr>
          <w:rFonts w:hint="eastAsia" w:ascii="仿宋_GB2312" w:hAnsi="仿宋_GB2312" w:eastAsia="仿宋_GB2312" w:cs="仿宋_GB2312"/>
          <w:sz w:val="32"/>
          <w:szCs w:val="32"/>
          <w:shd w:val="clear" w:color="030000" w:fill="FFFFFF"/>
          <w:lang w:val="en-US" w:eastAsia="zh-CN"/>
        </w:rPr>
        <w:t>悉，经研究，批复如下：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shd w:val="clear" w:color="auto" w:fill="FFFFFF"/>
          <w:lang w:val="en-US" w:eastAsia="zh-CN"/>
        </w:rPr>
      </w:pPr>
      <w:r>
        <w:rPr>
          <w:rFonts w:hint="eastAsia" w:ascii="Times New Roman" w:hAnsi="Times New Roman" w:eastAsia="仿宋_GB2312" w:cs="Times New Roman"/>
          <w:sz w:val="32"/>
          <w:szCs w:val="32"/>
          <w:shd w:val="clear" w:color="auto" w:fill="FFFFFF"/>
          <w:lang w:val="en-US" w:eastAsia="zh-CN"/>
        </w:rPr>
        <w:t>原则同意你单位出资</w:t>
      </w:r>
      <w:r>
        <w:rPr>
          <w:rFonts w:ascii="Times New Roman" w:hAnsi="Times New Roman" w:eastAsia="仿宋_GB2312" w:cs="Times New Roman"/>
          <w:sz w:val="32"/>
          <w:szCs w:val="32"/>
          <w:shd w:val="clear" w:color="auto" w:fill="FFFFFF"/>
        </w:rPr>
        <w:t>成立郯城</w:t>
      </w:r>
      <w:r>
        <w:rPr>
          <w:rFonts w:hint="eastAsia" w:ascii="Times New Roman" w:hAnsi="Times New Roman" w:eastAsia="仿宋_GB2312" w:cs="Times New Roman"/>
          <w:sz w:val="32"/>
          <w:szCs w:val="32"/>
          <w:shd w:val="clear" w:color="auto" w:fill="FFFFFF"/>
          <w:lang w:val="en-US" w:eastAsia="zh-CN"/>
        </w:rPr>
        <w:t>县交投建设发展</w:t>
      </w:r>
      <w:r>
        <w:rPr>
          <w:rFonts w:ascii="Times New Roman" w:hAnsi="Times New Roman" w:eastAsia="仿宋_GB2312" w:cs="Times New Roman"/>
          <w:sz w:val="32"/>
          <w:szCs w:val="32"/>
          <w:shd w:val="clear" w:color="auto" w:fill="FFFFFF"/>
        </w:rPr>
        <w:t>集团有限公司</w:t>
      </w:r>
      <w:r>
        <w:rPr>
          <w:rFonts w:hint="eastAsia" w:ascii="Times New Roman" w:hAnsi="Times New Roman" w:eastAsia="仿宋_GB2312" w:cs="Times New Roman"/>
          <w:sz w:val="32"/>
          <w:szCs w:val="32"/>
          <w:shd w:val="clear" w:color="auto" w:fill="FFFFFF"/>
          <w:lang w:eastAsia="zh-CN"/>
        </w:rPr>
        <w:t>，</w:t>
      </w:r>
      <w:r>
        <w:rPr>
          <w:rFonts w:ascii="Times New Roman" w:hAnsi="Times New Roman" w:eastAsia="仿宋_GB2312" w:cs="Times New Roman"/>
          <w:sz w:val="32"/>
          <w:szCs w:val="32"/>
          <w:shd w:val="clear" w:color="auto" w:fill="FFFFFF"/>
        </w:rPr>
        <w:t>公司</w:t>
      </w:r>
      <w:r>
        <w:rPr>
          <w:rFonts w:hint="eastAsia" w:ascii="Times New Roman" w:hAnsi="Times New Roman" w:eastAsia="仿宋_GB2312" w:cs="Times New Roman"/>
          <w:sz w:val="32"/>
          <w:szCs w:val="32"/>
          <w:shd w:val="clear" w:color="auto" w:fill="FFFFFF"/>
          <w:lang w:val="en-US" w:eastAsia="zh-CN"/>
        </w:rPr>
        <w:t>注册资本金50000万元，100%控股，作为县级一级企业进行监管。</w:t>
      </w:r>
      <w:r>
        <w:rPr>
          <w:rFonts w:hint="eastAsia" w:ascii="仿宋_GB2312" w:hAnsi="仿宋_GB2312" w:eastAsia="仿宋_GB2312" w:cs="仿宋_GB2312"/>
          <w:sz w:val="32"/>
          <w:szCs w:val="32"/>
          <w:lang w:val="en-US" w:eastAsia="zh-CN"/>
        </w:rPr>
        <w:t>经营范围：</w:t>
      </w:r>
      <w:r>
        <w:rPr>
          <w:rFonts w:hint="eastAsia" w:ascii="Times New Roman" w:hAnsi="Times New Roman" w:eastAsia="仿宋_GB2312" w:cs="Times New Roman"/>
          <w:sz w:val="32"/>
          <w:szCs w:val="32"/>
          <w:shd w:val="clear" w:color="auto" w:fill="FFFFFF"/>
          <w:lang w:val="en-US" w:eastAsia="zh-CN"/>
        </w:rPr>
        <w:t>建设工程施工；建设工程设计；住宅室内装饰装修；建筑劳务分包；道路旅客运输经营；房地产开发经营；道路旅客运输站经营；</w:t>
      </w:r>
      <w:r>
        <w:rPr>
          <w:rFonts w:hint="default" w:ascii="Times New Roman" w:hAnsi="Times New Roman" w:eastAsia="仿宋_GB2312" w:cs="Times New Roman"/>
          <w:sz w:val="32"/>
          <w:szCs w:val="32"/>
          <w:shd w:val="clear" w:color="auto" w:fill="FFFFFF"/>
          <w:lang w:val="en-US" w:eastAsia="zh-CN"/>
        </w:rPr>
        <w:t>城市绿化管理；工程和技术研究和试验发展；园林绿化工程施工；工程管理服务；装卸搬运；对外承包工程；以自有资金从事投资活动；自有资金投资的资产管理服务；公路水运工程试验检测服务；公路管理与养护；路基路面养护作业；小微型客车租赁经营服务；运输设备租赁服务；承接总公司工程建设业务；道路货物运输站经营；国内集装箱货物运输代理；机动车驾驶员培训（依法须经批准的项目，经相关部门批准后方可开展经营活动，具体经营项目以相关部门批准文件或许可证件为准）</w:t>
      </w:r>
      <w:r>
        <w:rPr>
          <w:rFonts w:hint="eastAsia" w:ascii="Times New Roman" w:hAnsi="Times New Roman" w:eastAsia="仿宋_GB2312" w:cs="Times New Roman"/>
          <w:sz w:val="32"/>
          <w:szCs w:val="32"/>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由杨一龙同志任公司董事长、总经理，兼任法定代表人。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shd w:val="clear" w:color="auto" w:fill="FFFFFF"/>
          <w:lang w:val="en-US" w:eastAsia="zh-CN"/>
        </w:rPr>
      </w:pPr>
      <w:r>
        <w:rPr>
          <w:rFonts w:hint="eastAsia" w:ascii="Times New Roman" w:hAnsi="Times New Roman" w:eastAsia="仿宋_GB2312" w:cs="Times New Roman"/>
          <w:sz w:val="32"/>
          <w:szCs w:val="32"/>
          <w:lang w:val="en-US" w:eastAsia="zh-CN"/>
        </w:rPr>
        <w:t>你单位要认真履行监管职责，督促该公司严格按照《公司法》等有关法律法规</w:t>
      </w:r>
      <w:r>
        <w:rPr>
          <w:rFonts w:hint="eastAsia" w:ascii="仿宋_GB2312" w:hAnsi="仿宋_GB2312" w:eastAsia="仿宋_GB2312" w:cs="仿宋_GB2312"/>
          <w:sz w:val="32"/>
          <w:szCs w:val="32"/>
          <w:lang w:val="en-US" w:eastAsia="zh-CN"/>
        </w:rPr>
        <w:t>建立规章制度，</w:t>
      </w:r>
      <w:r>
        <w:rPr>
          <w:rFonts w:hint="eastAsia" w:ascii="Times New Roman" w:hAnsi="Times New Roman" w:eastAsia="仿宋_GB2312" w:cs="Times New Roman"/>
          <w:sz w:val="32"/>
          <w:szCs w:val="32"/>
          <w:lang w:val="en-US" w:eastAsia="zh-CN"/>
        </w:rPr>
        <w:t>完善法人治理结构，依法合规开展经营活动，切实防范风险。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1年9月25日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left"/>
        <w:textAlignment w:val="auto"/>
        <w:rPr>
          <w:rFonts w:hint="eastAsia" w:ascii="仿宋_GB2312" w:hAnsi="Calibri" w:eastAsia="仿宋_GB2312" w:cs="Times New Roman"/>
          <w:sz w:val="32"/>
          <w:szCs w:val="32"/>
          <w:lang w:val="en-US" w:eastAsia="zh-CN"/>
        </w:rPr>
        <w:sectPr>
          <w:pgSz w:w="11906" w:h="16838"/>
          <w:pgMar w:top="1814" w:right="1587" w:bottom="1701" w:left="1587" w:header="851" w:footer="992" w:gutter="0"/>
          <w:pgNumType w:fmt="decimal"/>
          <w:cols w:space="720" w:num="1"/>
          <w:docGrid w:type="lines" w:linePitch="312" w:charSpace="0"/>
        </w:sectPr>
      </w:pPr>
      <w:r>
        <w:rPr>
          <w:rFonts w:hint="eastAsia" w:ascii="仿宋_GB2312" w:hAnsi="Calibri" w:eastAsia="仿宋_GB2312" w:cs="Times New Roman"/>
          <w:sz w:val="32"/>
          <w:szCs w:val="32"/>
          <w:lang w:val="en-US" w:eastAsia="zh-CN"/>
        </w:rPr>
        <w:t>（此件公开发布）</w:t>
      </w:r>
    </w:p>
    <w:p/>
    <w:p>
      <w:pPr>
        <w:keepNext w:val="0"/>
        <w:keepLines w:val="0"/>
        <w:pageBreakBefore w:val="0"/>
        <w:kinsoku/>
        <w:wordWrap/>
        <w:overflowPunct/>
        <w:topLinePunct w:val="0"/>
        <w:autoSpaceDE/>
        <w:autoSpaceDN/>
        <w:bidi w:val="0"/>
        <w:adjustRightInd/>
        <w:spacing w:line="600"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郯政办字〔</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40号</w:t>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关于印发《202</w:t>
      </w:r>
      <w:r>
        <w:rPr>
          <w:rFonts w:hint="eastAsia" w:ascii="方正小标宋简体" w:hAnsi="方正小标宋简体" w:eastAsia="方正小标宋简体" w:cs="方正小标宋简体"/>
          <w:sz w:val="44"/>
          <w:szCs w:val="44"/>
          <w:lang w:val="en-US" w:eastAsia="zh-CN"/>
        </w:rPr>
        <w:t>1</w:t>
      </w:r>
      <w:r>
        <w:rPr>
          <w:rFonts w:hint="eastAsia" w:ascii="方正小标宋简体" w:hAnsi="方正小标宋简体" w:eastAsia="方正小标宋简体" w:cs="方正小标宋简体"/>
          <w:sz w:val="44"/>
          <w:szCs w:val="44"/>
        </w:rPr>
        <w:t>年郯城县高素质农民培育实施方案》的通知</w:t>
      </w:r>
    </w:p>
    <w:p>
      <w:pPr>
        <w:keepNext w:val="0"/>
        <w:keepLines w:val="0"/>
        <w:pageBreakBefore w:val="0"/>
        <w:kinsoku/>
        <w:wordWrap/>
        <w:overflowPunct/>
        <w:topLinePunct w:val="0"/>
        <w:autoSpaceDE/>
        <w:autoSpaceDN/>
        <w:bidi w:val="0"/>
        <w:adjustRightInd/>
        <w:spacing w:line="600" w:lineRule="exact"/>
        <w:textAlignment w:val="auto"/>
        <w:rPr>
          <w:rFonts w:hint="eastAsia" w:ascii="仿宋" w:hAnsi="仿宋" w:eastAsia="仿宋" w:cs="仿宋"/>
          <w:sz w:val="32"/>
          <w:szCs w:val="32"/>
        </w:rPr>
      </w:pPr>
    </w:p>
    <w:p>
      <w:pPr>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各乡镇人民政府、郯城街道办事处，县政府有关部门，新村银杏产业开发区管委会：</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年郯城县高素质农民培育实施方案》已经县政府研究同意，现印发给你们，请认真遵照执行。</w:t>
      </w:r>
    </w:p>
    <w:p>
      <w:pPr>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pacing w:line="60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郯城县人民政府办公室</w:t>
      </w:r>
    </w:p>
    <w:p>
      <w:pPr>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日</w:t>
      </w:r>
    </w:p>
    <w:p>
      <w:pPr>
        <w:keepNext w:val="0"/>
        <w:keepLines w:val="0"/>
        <w:pageBreakBefore w:val="0"/>
        <w:kinsoku/>
        <w:wordWrap/>
        <w:overflowPunct/>
        <w:topLinePunct w:val="0"/>
        <w:autoSpaceDE/>
        <w:autoSpaceDN/>
        <w:bidi w:val="0"/>
        <w:adjustRightInd/>
        <w:spacing w:line="600" w:lineRule="exact"/>
        <w:jc w:val="both"/>
        <w:textAlignment w:val="auto"/>
        <w:rPr>
          <w:rFonts w:hint="eastAsia" w:ascii="仿宋" w:hAnsi="仿宋" w:eastAsia="仿宋" w:cs="仿宋"/>
          <w:sz w:val="32"/>
          <w:szCs w:val="32"/>
          <w:lang w:eastAsia="zh-CN"/>
        </w:rPr>
      </w:pP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（此件公开发布）</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方正小标宋简体" w:hAnsi="方正小标宋简体" w:eastAsia="方正小标宋简体" w:cs="方正小标宋简体"/>
          <w:sz w:val="44"/>
          <w:szCs w:val="44"/>
        </w:rPr>
      </w:pPr>
      <w:r>
        <w:rPr>
          <w:rFonts w:hint="eastAsia" w:ascii="仿宋" w:hAnsi="仿宋" w:eastAsia="仿宋" w:cs="仿宋"/>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1</w:t>
      </w:r>
      <w:r>
        <w:rPr>
          <w:rFonts w:hint="eastAsia" w:ascii="方正小标宋简体" w:hAnsi="方正小标宋简体" w:eastAsia="方正小标宋简体" w:cs="方正小标宋简体"/>
          <w:sz w:val="44"/>
          <w:szCs w:val="44"/>
        </w:rPr>
        <w:t>年郯城县高素质农民培育实施方案</w:t>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kinsoku/>
        <w:wordWrap/>
        <w:overflowPunct/>
        <w:topLinePunct w:val="0"/>
        <w:autoSpaceDE/>
        <w:autoSpaceDN/>
        <w:bidi w:val="0"/>
        <w:adjustRightInd/>
        <w:spacing w:line="600" w:lineRule="exact"/>
        <w:jc w:val="both"/>
        <w:textAlignment w:val="auto"/>
        <w:rPr>
          <w:rFonts w:hint="eastAsia" w:ascii="黑体" w:hAnsi="黑体" w:eastAsia="黑体" w:cs="黑体"/>
          <w:b w:val="0"/>
          <w:bCs/>
          <w:color w:val="000000"/>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b w:val="0"/>
          <w:bCs/>
          <w:color w:val="000000"/>
          <w:sz w:val="32"/>
          <w:szCs w:val="32"/>
        </w:rPr>
        <w:t>一、总体思路</w:t>
      </w:r>
    </w:p>
    <w:p>
      <w:pPr>
        <w:keepNext w:val="0"/>
        <w:keepLines w:val="0"/>
        <w:pageBreakBefore w:val="0"/>
        <w:kinsoku/>
        <w:wordWrap/>
        <w:overflowPunct/>
        <w:topLinePunct w:val="0"/>
        <w:autoSpaceDE/>
        <w:autoSpaceDN/>
        <w:bidi w:val="0"/>
        <w:adjustRightInd/>
        <w:spacing w:line="600" w:lineRule="exact"/>
        <w:ind w:left="0" w:leftChars="0" w:firstLine="464" w:firstLineChars="145"/>
        <w:textAlignment w:val="auto"/>
        <w:rPr>
          <w:rFonts w:hint="eastAsia" w:ascii="仿宋_GB2312" w:hAnsi="仿宋_GB2312" w:eastAsia="仿宋_GB2312" w:cs="仿宋_GB2312"/>
          <w:sz w:val="32"/>
          <w:szCs w:val="32"/>
          <w:lang w:val="en-US" w:eastAsia="zh-CN"/>
        </w:rPr>
      </w:pPr>
      <w:r>
        <w:rPr>
          <w:rFonts w:hint="eastAsia" w:ascii="仿宋" w:hAnsi="仿宋" w:eastAsia="仿宋" w:cs="仿宋"/>
          <w:color w:val="000000"/>
          <w:sz w:val="32"/>
          <w:szCs w:val="32"/>
          <w:lang w:val="en-US" w:eastAsia="zh-CN"/>
        </w:rPr>
        <w:t xml:space="preserve"> </w:t>
      </w:r>
      <w:r>
        <w:rPr>
          <w:rFonts w:hint="eastAsia" w:ascii="仿宋_GB2312" w:hAnsi="仿宋_GB2312" w:eastAsia="仿宋_GB2312" w:cs="仿宋_GB2312"/>
          <w:color w:val="000000"/>
          <w:sz w:val="32"/>
          <w:szCs w:val="32"/>
        </w:rPr>
        <w:t>以习近平新时代中国特色社会主义思想为指导，深入贯彻习近平总书记关于“三农”工作的重要论述和对山东、对临沂工作的重要指示批示精神，</w:t>
      </w:r>
      <w:r>
        <w:rPr>
          <w:rFonts w:hint="eastAsia" w:ascii="仿宋_GB2312" w:hAnsi="仿宋_GB2312" w:eastAsia="仿宋_GB2312" w:cs="仿宋_GB2312"/>
          <w:color w:val="000000"/>
          <w:sz w:val="32"/>
          <w:szCs w:val="32"/>
          <w:shd w:val="clear" w:color="auto" w:fill="FFFFFF"/>
        </w:rPr>
        <w:t>以</w:t>
      </w:r>
      <w:r>
        <w:rPr>
          <w:rFonts w:hint="eastAsia" w:ascii="仿宋_GB2312" w:hAnsi="仿宋_GB2312" w:eastAsia="仿宋_GB2312" w:cs="仿宋_GB2312"/>
          <w:sz w:val="32"/>
          <w:szCs w:val="32"/>
        </w:rPr>
        <w:t>推进乡村振兴“三步走”</w:t>
      </w:r>
      <w:r>
        <w:rPr>
          <w:rFonts w:hint="eastAsia" w:ascii="仿宋_GB2312" w:hAnsi="仿宋_GB2312" w:eastAsia="仿宋_GB2312" w:cs="仿宋_GB2312"/>
          <w:color w:val="000000"/>
          <w:sz w:val="32"/>
          <w:szCs w:val="32"/>
          <w:shd w:val="clear" w:color="auto" w:fill="FFFFFF"/>
        </w:rPr>
        <w:t>为主线，</w:t>
      </w:r>
      <w:r>
        <w:rPr>
          <w:rFonts w:hint="eastAsia" w:ascii="仿宋_GB2312" w:hAnsi="仿宋_GB2312" w:eastAsia="仿宋_GB2312" w:cs="仿宋_GB2312"/>
          <w:bCs/>
          <w:sz w:val="32"/>
          <w:szCs w:val="32"/>
        </w:rPr>
        <w:t>围绕“保供固安全、振兴畅循环”，创新培训方式，统筹推进新型农业经营和服务主体能力提升、种养加能手技能培训、农村创新创业者培养、乡村治理及社会事业发展带头人培养，为推进</w:t>
      </w:r>
      <w:r>
        <w:rPr>
          <w:rFonts w:hint="eastAsia" w:ascii="仿宋_GB2312" w:hAnsi="仿宋_GB2312" w:eastAsia="仿宋_GB2312" w:cs="仿宋_GB2312"/>
          <w:bCs/>
          <w:sz w:val="32"/>
          <w:szCs w:val="32"/>
          <w:lang w:val="en-US" w:eastAsia="zh-CN"/>
        </w:rPr>
        <w:t>全县</w:t>
      </w:r>
      <w:r>
        <w:rPr>
          <w:rFonts w:hint="eastAsia" w:ascii="仿宋_GB2312" w:hAnsi="仿宋_GB2312" w:eastAsia="仿宋_GB2312" w:cs="仿宋_GB2312"/>
          <w:bCs/>
          <w:sz w:val="32"/>
          <w:szCs w:val="32"/>
        </w:rPr>
        <w:t>农业农村现代化提供强有力的人力资源支撑。</w:t>
      </w:r>
      <w:r>
        <w:rPr>
          <w:rFonts w:hint="eastAsia" w:ascii="仿宋_GB2312" w:hAnsi="仿宋_GB2312" w:eastAsia="仿宋_GB2312" w:cs="仿宋_GB2312"/>
          <w:sz w:val="32"/>
          <w:szCs w:val="32"/>
          <w:lang w:val="en-US" w:eastAsia="zh-CN"/>
        </w:rPr>
        <w:t xml:space="preserve">  </w:t>
      </w:r>
    </w:p>
    <w:p>
      <w:pPr>
        <w:keepNext w:val="0"/>
        <w:keepLines w:val="0"/>
        <w:pageBreakBefore w:val="0"/>
        <w:kinsoku/>
        <w:wordWrap/>
        <w:overflowPunct/>
        <w:topLinePunct w:val="0"/>
        <w:autoSpaceDE/>
        <w:autoSpaceDN/>
        <w:bidi w:val="0"/>
        <w:adjustRightInd/>
        <w:spacing w:line="600" w:lineRule="exact"/>
        <w:ind w:left="0" w:leftChars="0" w:firstLine="464" w:firstLineChars="145"/>
        <w:textAlignment w:val="auto"/>
        <w:rPr>
          <w:rFonts w:hint="eastAsia" w:ascii="仿宋" w:hAnsi="仿宋" w:eastAsia="仿宋" w:cs="仿宋"/>
          <w:sz w:val="32"/>
          <w:szCs w:val="32"/>
        </w:rPr>
      </w:pPr>
      <w:r>
        <w:rPr>
          <w:rFonts w:hint="eastAsia" w:ascii="黑体" w:hAnsi="黑体" w:eastAsia="黑体" w:cs="黑体"/>
          <w:b w:val="0"/>
          <w:bCs/>
          <w:color w:val="000000"/>
          <w:sz w:val="32"/>
          <w:szCs w:val="32"/>
          <w:lang w:val="en-US" w:eastAsia="zh-CN"/>
        </w:rPr>
        <w:t xml:space="preserve"> </w:t>
      </w:r>
      <w:r>
        <w:rPr>
          <w:rFonts w:hint="eastAsia" w:ascii="黑体" w:hAnsi="黑体" w:eastAsia="黑体" w:cs="黑体"/>
          <w:b w:val="0"/>
          <w:bCs/>
          <w:color w:val="000000"/>
          <w:sz w:val="32"/>
          <w:szCs w:val="32"/>
        </w:rPr>
        <w:t>二、重点任务</w:t>
      </w: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spacing w:line="600" w:lineRule="exact"/>
        <w:ind w:left="0" w:leftChars="0" w:firstLine="640" w:firstLineChars="200"/>
        <w:textAlignment w:val="auto"/>
        <w:rPr>
          <w:rStyle w:val="16"/>
          <w:rFonts w:hint="eastAsia" w:ascii="仿宋_GB2312" w:hAnsi="仿宋_GB2312" w:eastAsia="仿宋_GB2312" w:cs="仿宋_GB2312"/>
          <w:sz w:val="32"/>
          <w:szCs w:val="32"/>
        </w:rPr>
      </w:pPr>
      <w:r>
        <w:rPr>
          <w:rStyle w:val="16"/>
          <w:rFonts w:hint="eastAsia" w:ascii="仿宋_GB2312" w:hAnsi="仿宋_GB2312" w:eastAsia="仿宋_GB2312" w:cs="仿宋_GB2312"/>
          <w:sz w:val="32"/>
          <w:szCs w:val="32"/>
        </w:rPr>
        <w:t>围绕保供、衔接、建设、要害、改革等重点任务，以家庭农场经营者、农民合作社带头人为重点，加快培养各类乡村振兴带头人。</w:t>
      </w:r>
    </w:p>
    <w:p>
      <w:pPr>
        <w:keepNext w:val="0"/>
        <w:keepLines w:val="0"/>
        <w:pageBreakBefore w:val="0"/>
        <w:kinsoku/>
        <w:wordWrap/>
        <w:overflowPunct/>
        <w:topLinePunct w:val="0"/>
        <w:autoSpaceDE/>
        <w:autoSpaceDN/>
        <w:bidi w:val="0"/>
        <w:adjustRightInd/>
        <w:spacing w:line="600" w:lineRule="exact"/>
        <w:ind w:left="0" w:leftChars="0" w:firstLine="640" w:firstLineChars="200"/>
        <w:textAlignment w:val="auto"/>
        <w:rPr>
          <w:rStyle w:val="16"/>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2021年</w:t>
      </w:r>
      <w:r>
        <w:rPr>
          <w:rFonts w:hint="eastAsia" w:ascii="仿宋_GB2312" w:hAnsi="仿宋_GB2312" w:eastAsia="仿宋_GB2312" w:cs="仿宋_GB2312"/>
          <w:color w:val="000000"/>
          <w:sz w:val="32"/>
          <w:szCs w:val="32"/>
        </w:rPr>
        <w:t>全县</w:t>
      </w:r>
      <w:r>
        <w:rPr>
          <w:rFonts w:hint="eastAsia" w:ascii="仿宋_GB2312" w:hAnsi="仿宋_GB2312" w:eastAsia="仿宋_GB2312" w:cs="仿宋_GB2312"/>
          <w:bCs/>
          <w:sz w:val="32"/>
          <w:szCs w:val="32"/>
        </w:rPr>
        <w:t>高素质农民培训工作继续按省、市、县分层分类开展。</w:t>
      </w:r>
      <w:r>
        <w:rPr>
          <w:rFonts w:hint="eastAsia" w:ascii="仿宋_GB2312" w:hAnsi="仿宋_GB2312" w:eastAsia="仿宋_GB2312" w:cs="仿宋_GB2312"/>
          <w:bCs/>
          <w:sz w:val="32"/>
          <w:szCs w:val="32"/>
          <w:lang w:val="en-US" w:eastAsia="zh-CN"/>
        </w:rPr>
        <w:t>项目</w:t>
      </w:r>
      <w:r>
        <w:rPr>
          <w:rFonts w:hint="eastAsia" w:ascii="仿宋_GB2312" w:hAnsi="仿宋_GB2312" w:eastAsia="仿宋_GB2312" w:cs="仿宋_GB2312"/>
          <w:sz w:val="32"/>
          <w:szCs w:val="32"/>
          <w:lang w:val="en-US" w:eastAsia="zh-CN"/>
        </w:rPr>
        <w:t>资金111万元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全县</w:t>
      </w:r>
      <w:r>
        <w:rPr>
          <w:rFonts w:hint="eastAsia" w:ascii="仿宋_GB2312" w:hAnsi="仿宋_GB2312" w:eastAsia="仿宋_GB2312" w:cs="仿宋_GB2312"/>
          <w:bCs/>
          <w:sz w:val="32"/>
          <w:szCs w:val="32"/>
        </w:rPr>
        <w:t>共</w:t>
      </w:r>
      <w:r>
        <w:rPr>
          <w:rFonts w:hint="eastAsia" w:ascii="仿宋_GB2312" w:hAnsi="仿宋_GB2312" w:eastAsia="仿宋_GB2312" w:cs="仿宋_GB2312"/>
          <w:bCs/>
          <w:sz w:val="32"/>
          <w:szCs w:val="32"/>
          <w:lang w:val="en-US" w:eastAsia="zh-CN"/>
        </w:rPr>
        <w:t>培训407</w:t>
      </w:r>
      <w:r>
        <w:rPr>
          <w:rFonts w:hint="eastAsia" w:ascii="仿宋_GB2312" w:hAnsi="仿宋_GB2312" w:eastAsia="仿宋_GB2312" w:cs="仿宋_GB2312"/>
          <w:bCs/>
          <w:sz w:val="32"/>
          <w:szCs w:val="32"/>
        </w:rPr>
        <w:t>人</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含增加10%培训任务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，各</w:t>
      </w:r>
      <w:r>
        <w:rPr>
          <w:rFonts w:hint="eastAsia" w:ascii="仿宋_GB2312" w:hAnsi="仿宋_GB2312" w:eastAsia="仿宋_GB2312" w:cs="仿宋_GB2312"/>
          <w:bCs/>
          <w:sz w:val="32"/>
          <w:szCs w:val="32"/>
          <w:lang w:val="en-US" w:eastAsia="zh-CN"/>
        </w:rPr>
        <w:t>乡镇高素质农民培育</w:t>
      </w:r>
      <w:r>
        <w:rPr>
          <w:rFonts w:hint="eastAsia" w:ascii="仿宋_GB2312" w:hAnsi="仿宋_GB2312" w:eastAsia="仿宋_GB2312" w:cs="仿宋_GB2312"/>
          <w:bCs/>
          <w:sz w:val="32"/>
          <w:szCs w:val="32"/>
        </w:rPr>
        <w:t>任务</w:t>
      </w:r>
      <w:r>
        <w:rPr>
          <w:rFonts w:hint="eastAsia" w:ascii="仿宋_GB2312" w:hAnsi="仿宋_GB2312" w:eastAsia="仿宋_GB2312" w:cs="仿宋_GB2312"/>
          <w:bCs/>
          <w:sz w:val="32"/>
          <w:szCs w:val="32"/>
          <w:lang w:val="en-US" w:eastAsia="zh-CN"/>
        </w:rPr>
        <w:t>指标</w:t>
      </w:r>
      <w:r>
        <w:rPr>
          <w:rFonts w:hint="eastAsia" w:ascii="仿宋_GB2312" w:hAnsi="仿宋_GB2312" w:eastAsia="仿宋_GB2312" w:cs="仿宋_GB2312"/>
          <w:bCs/>
          <w:sz w:val="32"/>
          <w:szCs w:val="32"/>
        </w:rPr>
        <w:t>见附件。</w:t>
      </w:r>
      <w:r>
        <w:rPr>
          <w:rFonts w:hint="eastAsia" w:ascii="仿宋_GB2312" w:hAnsi="仿宋_GB2312" w:eastAsia="仿宋_GB2312" w:cs="仿宋_GB2312"/>
          <w:bCs/>
          <w:sz w:val="32"/>
          <w:szCs w:val="32"/>
          <w:lang w:val="en-US" w:eastAsia="zh-CN"/>
        </w:rPr>
        <w:t>其中</w:t>
      </w:r>
      <w:r>
        <w:rPr>
          <w:rFonts w:hint="eastAsia" w:ascii="仿宋_GB2312" w:hAnsi="仿宋_GB2312" w:eastAsia="仿宋_GB2312" w:cs="仿宋_GB2312"/>
          <w:bCs/>
          <w:sz w:val="32"/>
          <w:szCs w:val="32"/>
        </w:rPr>
        <w:t>省级培训</w:t>
      </w:r>
      <w:r>
        <w:rPr>
          <w:rFonts w:hint="eastAsia" w:ascii="仿宋_GB2312" w:hAnsi="仿宋_GB2312" w:eastAsia="仿宋_GB2312" w:cs="仿宋_GB2312"/>
          <w:bCs/>
          <w:sz w:val="32"/>
          <w:szCs w:val="32"/>
          <w:lang w:val="en-US" w:eastAsia="zh-CN"/>
        </w:rPr>
        <w:t>共</w:t>
      </w:r>
      <w:r>
        <w:rPr>
          <w:rFonts w:hint="eastAsia" w:ascii="仿宋_GB2312" w:hAnsi="仿宋_GB2312" w:eastAsia="仿宋_GB2312" w:cs="仿宋_GB2312"/>
          <w:bCs/>
          <w:sz w:val="32"/>
          <w:szCs w:val="32"/>
        </w:rPr>
        <w:t>47人，由省农广校</w:t>
      </w:r>
      <w:r>
        <w:rPr>
          <w:rFonts w:hint="eastAsia" w:ascii="仿宋_GB2312" w:hAnsi="仿宋_GB2312" w:eastAsia="仿宋_GB2312" w:cs="仿宋_GB2312"/>
          <w:bCs/>
          <w:sz w:val="32"/>
          <w:szCs w:val="32"/>
          <w:lang w:val="en-US" w:eastAsia="zh-CN"/>
        </w:rPr>
        <w:t>组织</w:t>
      </w:r>
      <w:r>
        <w:rPr>
          <w:rFonts w:hint="eastAsia" w:ascii="仿宋_GB2312" w:hAnsi="仿宋_GB2312" w:eastAsia="仿宋_GB2312" w:cs="仿宋_GB2312"/>
          <w:bCs/>
          <w:sz w:val="32"/>
          <w:szCs w:val="32"/>
        </w:rPr>
        <w:t>，重点开展各类带头人示范性培训</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市级培训</w:t>
      </w:r>
      <w:r>
        <w:rPr>
          <w:rFonts w:hint="eastAsia" w:ascii="仿宋_GB2312" w:hAnsi="仿宋_GB2312" w:eastAsia="仿宋_GB2312" w:cs="仿宋_GB2312"/>
          <w:color w:val="000000"/>
          <w:sz w:val="32"/>
          <w:szCs w:val="32"/>
          <w:lang w:val="en-US" w:eastAsia="zh-CN"/>
        </w:rPr>
        <w:t>共</w:t>
      </w:r>
      <w:r>
        <w:rPr>
          <w:rFonts w:hint="eastAsia" w:ascii="仿宋_GB2312" w:hAnsi="仿宋_GB2312" w:eastAsia="仿宋_GB2312" w:cs="仿宋_GB2312"/>
          <w:bCs/>
          <w:sz w:val="32"/>
          <w:szCs w:val="32"/>
          <w:lang w:val="en-US" w:eastAsia="zh-CN"/>
        </w:rPr>
        <w:t>34</w:t>
      </w:r>
      <w:r>
        <w:rPr>
          <w:rFonts w:hint="eastAsia" w:ascii="仿宋_GB2312" w:hAnsi="仿宋_GB2312" w:eastAsia="仿宋_GB2312" w:cs="仿宋_GB2312"/>
          <w:bCs/>
          <w:sz w:val="32"/>
          <w:szCs w:val="32"/>
        </w:rPr>
        <w:t>人，由</w:t>
      </w:r>
      <w:r>
        <w:rPr>
          <w:rFonts w:hint="eastAsia" w:ascii="仿宋_GB2312" w:hAnsi="仿宋_GB2312" w:eastAsia="仿宋_GB2312" w:cs="仿宋_GB2312"/>
          <w:bCs/>
          <w:sz w:val="32"/>
          <w:szCs w:val="32"/>
          <w:lang w:val="en-US" w:eastAsia="zh-CN"/>
        </w:rPr>
        <w:t>市级农民培训机构</w:t>
      </w:r>
      <w:r>
        <w:rPr>
          <w:rFonts w:hint="eastAsia" w:ascii="仿宋_GB2312" w:hAnsi="仿宋_GB2312" w:eastAsia="仿宋_GB2312" w:cs="仿宋_GB2312"/>
          <w:bCs/>
          <w:sz w:val="32"/>
          <w:szCs w:val="32"/>
        </w:rPr>
        <w:t>会同退役军人事务局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妇联、共青团、</w:t>
      </w:r>
      <w:r>
        <w:rPr>
          <w:rFonts w:hint="eastAsia" w:ascii="仿宋_GB2312" w:hAnsi="仿宋_GB2312" w:eastAsia="仿宋_GB2312" w:cs="仿宋_GB2312"/>
          <w:bCs/>
          <w:sz w:val="32"/>
          <w:szCs w:val="32"/>
          <w:lang w:val="en-US" w:eastAsia="zh-CN"/>
        </w:rPr>
        <w:t>浙大山东农研院</w:t>
      </w:r>
      <w:r>
        <w:rPr>
          <w:rFonts w:hint="eastAsia" w:ascii="仿宋_GB2312" w:hAnsi="仿宋_GB2312" w:eastAsia="仿宋_GB2312" w:cs="仿宋_GB2312"/>
          <w:bCs/>
          <w:sz w:val="32"/>
          <w:szCs w:val="32"/>
        </w:rPr>
        <w:t>等部门共同组织，重</w:t>
      </w:r>
      <w:r>
        <w:rPr>
          <w:rFonts w:hint="eastAsia" w:ascii="仿宋_GB2312" w:hAnsi="仿宋_GB2312" w:eastAsia="仿宋_GB2312" w:cs="仿宋_GB2312"/>
          <w:color w:val="000000"/>
          <w:sz w:val="32"/>
          <w:szCs w:val="32"/>
        </w:rPr>
        <w:t>点</w:t>
      </w:r>
      <w:r>
        <w:rPr>
          <w:rFonts w:hint="eastAsia" w:ascii="仿宋_GB2312" w:hAnsi="仿宋_GB2312" w:eastAsia="仿宋_GB2312" w:cs="仿宋_GB2312"/>
          <w:bCs/>
          <w:sz w:val="32"/>
          <w:szCs w:val="32"/>
        </w:rPr>
        <w:t>开展退役军人</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乡村振兴青年先锋、长三角城市优质农产品供应基地带头人创新创业等专题培训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县级培训</w:t>
      </w:r>
      <w:r>
        <w:rPr>
          <w:rFonts w:hint="eastAsia" w:ascii="仿宋_GB2312" w:hAnsi="仿宋_GB2312" w:eastAsia="仿宋_GB2312" w:cs="仿宋_GB2312"/>
          <w:bCs/>
          <w:sz w:val="32"/>
          <w:szCs w:val="32"/>
          <w:lang w:val="en-US" w:eastAsia="zh-CN"/>
        </w:rPr>
        <w:t>共326人，其中282人由郯城县农业技术推广中心（县农广校）组织培训，44人（</w:t>
      </w:r>
      <w:r>
        <w:rPr>
          <w:rFonts w:hint="eastAsia" w:ascii="仿宋_GB2312" w:hAnsi="仿宋_GB2312" w:eastAsia="仿宋_GB2312" w:cs="仿宋_GB2312"/>
          <w:bCs/>
          <w:sz w:val="32"/>
          <w:szCs w:val="32"/>
        </w:rPr>
        <w:t>骨干农机手</w:t>
      </w:r>
      <w:r>
        <w:rPr>
          <w:rFonts w:hint="eastAsia" w:ascii="仿宋_GB2312" w:hAnsi="仿宋_GB2312" w:eastAsia="仿宋_GB2312" w:cs="仿宋_GB2312"/>
          <w:bCs/>
          <w:sz w:val="32"/>
          <w:szCs w:val="32"/>
          <w:lang w:val="en-US" w:eastAsia="zh-CN"/>
        </w:rPr>
        <w:t>）由县农业机械促进服务中心组织</w:t>
      </w:r>
      <w:r>
        <w:rPr>
          <w:rFonts w:hint="eastAsia" w:ascii="仿宋_GB2312" w:hAnsi="仿宋_GB2312" w:eastAsia="仿宋_GB2312" w:cs="仿宋_GB2312"/>
          <w:bCs/>
          <w:sz w:val="32"/>
          <w:szCs w:val="32"/>
        </w:rPr>
        <w:t>培训</w:t>
      </w:r>
      <w:r>
        <w:rPr>
          <w:rFonts w:hint="eastAsia" w:ascii="仿宋_GB2312" w:hAnsi="仿宋_GB2312" w:eastAsia="仿宋_GB2312" w:cs="仿宋_GB2312"/>
          <w:bCs/>
          <w:sz w:val="32"/>
          <w:szCs w:val="32"/>
          <w:lang w:eastAsia="zh-CN"/>
        </w:rPr>
        <w:t>。</w:t>
      </w:r>
    </w:p>
    <w:p>
      <w:pPr>
        <w:keepNext w:val="0"/>
        <w:keepLines w:val="0"/>
        <w:pageBreakBefore w:val="0"/>
        <w:widowControl/>
        <w:kinsoku/>
        <w:wordWrap/>
        <w:overflowPunct/>
        <w:topLinePunct w:val="0"/>
        <w:autoSpaceDE/>
        <w:autoSpaceDN/>
        <w:bidi w:val="0"/>
        <w:adjustRightInd/>
        <w:spacing w:beforeAutospacing="0" w:afterAutospacing="0" w:line="600" w:lineRule="exact"/>
        <w:textAlignment w:val="auto"/>
        <w:rPr>
          <w:rFonts w:hint="eastAsia" w:ascii="仿宋_GB2312" w:hAnsi="仿宋_GB2312" w:eastAsia="仿宋_GB2312" w:cs="仿宋_GB2312"/>
          <w:bCs/>
          <w:sz w:val="32"/>
          <w:szCs w:val="32"/>
        </w:rPr>
      </w:pPr>
      <w:r>
        <w:rPr>
          <w:rStyle w:val="16"/>
          <w:rFonts w:hint="eastAsia" w:ascii="仿宋_GB2312" w:hAnsi="仿宋_GB2312" w:eastAsia="仿宋_GB2312" w:cs="仿宋_GB2312"/>
          <w:sz w:val="32"/>
          <w:szCs w:val="32"/>
          <w:lang w:val="en-US"/>
        </w:rPr>
        <w:t xml:space="preserve">    </w:t>
      </w:r>
      <w:r>
        <w:rPr>
          <w:rStyle w:val="16"/>
          <w:rFonts w:hint="eastAsia" w:ascii="楷体_GB2312" w:hAnsi="楷体_GB2312" w:eastAsia="楷体_GB2312" w:cs="楷体_GB2312"/>
          <w:sz w:val="32"/>
          <w:szCs w:val="32"/>
        </w:rPr>
        <w:t>（一）聚焦保障粮食安全与重要农产品供给。</w:t>
      </w:r>
      <w:r>
        <w:rPr>
          <w:rFonts w:hint="eastAsia" w:ascii="仿宋_GB2312" w:hAnsi="仿宋_GB2312" w:eastAsia="仿宋_GB2312" w:cs="仿宋_GB2312"/>
          <w:sz w:val="32"/>
          <w:szCs w:val="32"/>
        </w:rPr>
        <w:t>严格落实粮食安全党政同责要求，</w:t>
      </w:r>
      <w:r>
        <w:rPr>
          <w:rFonts w:hint="eastAsia" w:ascii="仿宋_GB2312" w:hAnsi="仿宋_GB2312" w:eastAsia="仿宋_GB2312" w:cs="仿宋_GB2312"/>
          <w:bCs/>
          <w:sz w:val="32"/>
          <w:szCs w:val="32"/>
        </w:rPr>
        <w:t>围绕小麦、</w:t>
      </w:r>
      <w:r>
        <w:rPr>
          <w:rFonts w:hint="eastAsia" w:ascii="仿宋_GB2312" w:hAnsi="仿宋_GB2312" w:eastAsia="仿宋_GB2312" w:cs="仿宋_GB2312"/>
          <w:bCs/>
          <w:sz w:val="32"/>
          <w:szCs w:val="32"/>
          <w:lang w:val="en-US" w:eastAsia="zh-CN"/>
        </w:rPr>
        <w:t>水稻、</w:t>
      </w:r>
      <w:r>
        <w:rPr>
          <w:rFonts w:hint="eastAsia" w:ascii="仿宋_GB2312" w:hAnsi="仿宋_GB2312" w:eastAsia="仿宋_GB2312" w:cs="仿宋_GB2312"/>
          <w:bCs/>
          <w:sz w:val="32"/>
          <w:szCs w:val="32"/>
        </w:rPr>
        <w:t>玉米等主要粮食作物生产，开展良种推广、防灾减灾、科学施肥用药、低碳绿色生产等技术培训，提升种植管理水平，促进粮食丰收。围绕经济作物</w:t>
      </w:r>
      <w:r>
        <w:rPr>
          <w:rFonts w:hint="eastAsia" w:ascii="仿宋_GB2312" w:hAnsi="仿宋_GB2312" w:eastAsia="仿宋_GB2312" w:cs="仿宋_GB2312"/>
          <w:bCs/>
          <w:color w:val="000000"/>
          <w:sz w:val="32"/>
          <w:szCs w:val="32"/>
        </w:rPr>
        <w:t>生产</w:t>
      </w:r>
      <w:r>
        <w:rPr>
          <w:rFonts w:hint="eastAsia" w:ascii="仿宋_GB2312" w:hAnsi="仿宋_GB2312" w:eastAsia="仿宋_GB2312" w:cs="仿宋_GB2312"/>
          <w:bCs/>
          <w:sz w:val="32"/>
          <w:szCs w:val="32"/>
        </w:rPr>
        <w:t>，因地制宜开展</w:t>
      </w:r>
      <w:r>
        <w:rPr>
          <w:rFonts w:hint="eastAsia" w:ascii="仿宋_GB2312" w:hAnsi="仿宋_GB2312" w:eastAsia="仿宋_GB2312" w:cs="仿宋_GB2312"/>
          <w:bCs/>
          <w:sz w:val="32"/>
          <w:szCs w:val="32"/>
          <w:lang w:val="en-US" w:eastAsia="zh-CN"/>
        </w:rPr>
        <w:t>蔬菜、果树</w:t>
      </w:r>
      <w:r>
        <w:rPr>
          <w:rFonts w:hint="eastAsia" w:ascii="仿宋_GB2312" w:hAnsi="仿宋_GB2312" w:eastAsia="仿宋_GB2312" w:cs="仿宋_GB2312"/>
          <w:bCs/>
          <w:sz w:val="32"/>
          <w:szCs w:val="32"/>
        </w:rPr>
        <w:t>等经济作物生产管理培训，提高特色农业发展水平。围绕粮食作物机收减损，加强农机手操作技能培训，提高驾驶操作和安全使用水平，促进丰产丰收。围绕耕地质量提升，加强高标准农田建设与管护、节水灌溉、土壤培肥改良、测土配方施肥等技术培训，增强农民保护耕地意识，提升和改善耕地质量。</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bCs/>
          <w:sz w:val="32"/>
          <w:szCs w:val="32"/>
        </w:rPr>
      </w:pPr>
      <w:r>
        <w:rPr>
          <w:rStyle w:val="16"/>
          <w:rFonts w:hint="eastAsia" w:ascii="楷体_GB2312" w:hAnsi="楷体_GB2312" w:eastAsia="楷体_GB2312" w:cs="楷体_GB2312"/>
          <w:sz w:val="32"/>
          <w:szCs w:val="32"/>
        </w:rPr>
        <w:t>（二）扎实推进脱贫攻坚成果同乡村振兴有效衔接。</w:t>
      </w:r>
      <w:r>
        <w:rPr>
          <w:rFonts w:hint="eastAsia" w:ascii="仿宋_GB2312" w:hAnsi="仿宋_GB2312" w:eastAsia="仿宋_GB2312" w:cs="仿宋_GB2312"/>
          <w:bCs/>
          <w:sz w:val="32"/>
          <w:szCs w:val="32"/>
        </w:rPr>
        <w:t>切实落实“四个不摘”要求，持续做好脱贫地区农民教育培训工作。围绕脱贫地区特色种养业提升行动，加强特色产业发展带头人的生产技术、品牌打造、电商营销、金融信贷、加工物流等方面培训，提升示范带动能力，促进脱贫地区特色产业可持续发展。围绕推进产业“三品四化”（品种、品质、品牌，标准化、规模化、特色化、高端化）发展，以规模化种植、集约化栽培、机械化管理、品牌化销售、产业化经营为重点，加强家庭农场、农民合作社、农业社会化服务组织等各类农业生产经营组织带头人培育，带动脱贫人口和低收入人群增收致富，提升可持续脱贫能力。</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bCs/>
          <w:sz w:val="32"/>
          <w:szCs w:val="32"/>
        </w:rPr>
      </w:pPr>
      <w:r>
        <w:rPr>
          <w:rStyle w:val="16"/>
          <w:rFonts w:hint="eastAsia" w:ascii="楷体_GB2312" w:hAnsi="楷体_GB2312" w:eastAsia="楷体_GB2312" w:cs="楷体_GB2312"/>
          <w:sz w:val="32"/>
          <w:szCs w:val="32"/>
        </w:rPr>
        <w:t>（三）大力促进返乡入乡创业创新。</w:t>
      </w:r>
      <w:r>
        <w:rPr>
          <w:rFonts w:hint="eastAsia" w:ascii="仿宋_GB2312" w:hAnsi="仿宋_GB2312" w:eastAsia="仿宋_GB2312" w:cs="仿宋_GB2312"/>
          <w:bCs/>
          <w:sz w:val="32"/>
          <w:szCs w:val="32"/>
        </w:rPr>
        <w:t>重点面向退役军人、返乡创业大中专毕业生、农民工等返乡入乡群体，以农业农村发展形势、产业格局、乡风民俗等为重点，帮助其补齐农业农村知识短板，了解掌握“三农”政策，厚植知农爱农情怀，更好地融入乡村，带动农业产业发展。加强创业创新群体的职业技能培训，提升就业创业能力。围绕优势产业、特色产业、乡土产业发展壮大，以电商营销、直播带货、农村文旅等新技术、新模式、新业态为培训内容，大力培育农村创新创业人才，发展壮大新一代乡村创新创业带头人队伍。围绕</w:t>
      </w:r>
      <w:r>
        <w:rPr>
          <w:rFonts w:hint="eastAsia" w:ascii="仿宋_GB2312" w:hAnsi="仿宋_GB2312" w:eastAsia="仿宋_GB2312" w:cs="仿宋_GB2312"/>
          <w:bCs/>
          <w:sz w:val="32"/>
          <w:szCs w:val="32"/>
          <w:lang w:val="en-US" w:eastAsia="zh-CN"/>
        </w:rPr>
        <w:t>临沂市</w:t>
      </w:r>
      <w:r>
        <w:rPr>
          <w:rFonts w:hint="eastAsia" w:ascii="仿宋_GB2312" w:hAnsi="仿宋_GB2312" w:eastAsia="仿宋_GB2312" w:cs="仿宋_GB2312"/>
          <w:bCs/>
          <w:sz w:val="32"/>
          <w:szCs w:val="32"/>
        </w:rPr>
        <w:t>实施乡村振兴“三步走”，以强力</w:t>
      </w:r>
      <w:r>
        <w:rPr>
          <w:rFonts w:hint="eastAsia" w:ascii="仿宋_GB2312" w:hAnsi="仿宋_GB2312" w:eastAsia="仿宋_GB2312" w:cs="仿宋_GB2312"/>
          <w:sz w:val="32"/>
          <w:szCs w:val="32"/>
        </w:rPr>
        <w:t>打造长三角中心城市农产品供应基地为导向，</w:t>
      </w:r>
      <w:r>
        <w:rPr>
          <w:rFonts w:hint="eastAsia" w:ascii="仿宋_GB2312" w:hAnsi="仿宋_GB2312" w:eastAsia="仿宋_GB2312" w:cs="仿宋_GB2312"/>
          <w:bCs/>
          <w:sz w:val="32"/>
          <w:szCs w:val="32"/>
        </w:rPr>
        <w:t>以仓储保鲜冷链物流、农产品质量安全、“物联网+”智慧农业、对外贸易、产业化联合体打造等为内容，开展农业产业领军人才培养，提升农业农村产业发展农民企业家创业展业能力。</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 w:hAnsi="仿宋" w:eastAsia="仿宋" w:cs="仿宋"/>
          <w:bCs/>
          <w:sz w:val="32"/>
          <w:szCs w:val="32"/>
        </w:rPr>
      </w:pPr>
      <w:r>
        <w:rPr>
          <w:rStyle w:val="16"/>
          <w:rFonts w:hint="eastAsia" w:ascii="楷体_GB2312" w:hAnsi="楷体_GB2312" w:eastAsia="楷体_GB2312" w:cs="楷体_GB2312"/>
          <w:sz w:val="32"/>
          <w:szCs w:val="32"/>
        </w:rPr>
        <w:t>（四）强化乡村建设行动人才支撑。</w:t>
      </w:r>
      <w:r>
        <w:rPr>
          <w:rFonts w:hint="eastAsia" w:ascii="仿宋_GB2312" w:hAnsi="仿宋_GB2312" w:eastAsia="仿宋_GB2312" w:cs="仿宋_GB2312"/>
          <w:bCs/>
          <w:sz w:val="32"/>
          <w:szCs w:val="32"/>
        </w:rPr>
        <w:t>面向村“两委”成员，开展思想政治、法律法规、村庄建设管理等方面培训，培养一批农村基层治理人才。培养妇幼工作、文旅体育、环境整治、乡村康养、卫生防疫等专业人才，打造一批乡村社会事业发展带头人。围绕新时代农村精神文明建设，加强社会主义核心价值观、传统乡土文化等培训，推动形成文明乡风、良好家风、淳朴民风。加强农民生态文明、农业绿色发展培训，助力改善农村人居环境。加强乡村规划、休闲农业、乡村康养、冷链物流、农产品加工等技能培训，完善乡村产业体系。</w:t>
      </w:r>
      <w:r>
        <w:rPr>
          <w:rFonts w:hint="eastAsia" w:ascii="仿宋" w:hAnsi="仿宋" w:eastAsia="仿宋" w:cs="仿宋"/>
          <w:bCs/>
          <w:sz w:val="32"/>
          <w:szCs w:val="32"/>
        </w:rPr>
        <w:t xml:space="preserve"> </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b w:val="0"/>
          <w:bCs/>
          <w:color w:val="000000"/>
          <w:sz w:val="32"/>
          <w:szCs w:val="32"/>
        </w:rPr>
        <w:t>三、</w:t>
      </w:r>
      <w:r>
        <w:rPr>
          <w:rFonts w:hint="eastAsia" w:ascii="黑体" w:hAnsi="黑体" w:eastAsia="黑体" w:cs="黑体"/>
          <w:kern w:val="0"/>
          <w:sz w:val="32"/>
          <w:szCs w:val="32"/>
        </w:rPr>
        <w:t>资金使用</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Style w:val="18"/>
          <w:rFonts w:hint="eastAsia" w:ascii="仿宋_GB2312" w:hAnsi="仿宋_GB2312" w:eastAsia="仿宋_GB2312" w:cs="仿宋_GB2312"/>
          <w:sz w:val="32"/>
          <w:szCs w:val="32"/>
        </w:rPr>
      </w:pPr>
      <w:r>
        <w:rPr>
          <w:rStyle w:val="18"/>
          <w:rFonts w:hint="eastAsia" w:ascii="仿宋_GB2312" w:hAnsi="仿宋_GB2312" w:eastAsia="仿宋_GB2312" w:cs="仿宋_GB2312"/>
          <w:sz w:val="32"/>
          <w:szCs w:val="32"/>
        </w:rPr>
        <w:t>项目资金主要用于授课人员的讲课费</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食宿费</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交通费，学员的食宿费</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误餐交通补助</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实习实训</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参观交流</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培训场所租用</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培训资料和耗材</w:t>
      </w:r>
      <w:r>
        <w:rPr>
          <w:rFonts w:hint="eastAsia" w:ascii="仿宋_GB2312" w:hAnsi="仿宋_GB2312" w:eastAsia="仿宋_GB2312" w:cs="仿宋_GB2312"/>
          <w:sz w:val="32"/>
          <w:szCs w:val="32"/>
          <w:lang w:val="en-US" w:eastAsia="zh-CN"/>
        </w:rPr>
        <w:t>（杯子、笔记本、笔、包、服装、口罩等）</w:t>
      </w:r>
      <w:r>
        <w:rPr>
          <w:rStyle w:val="18"/>
          <w:rFonts w:hint="eastAsia" w:ascii="仿宋_GB2312" w:hAnsi="仿宋_GB2312" w:eastAsia="仿宋_GB2312" w:cs="仿宋_GB2312"/>
          <w:sz w:val="32"/>
          <w:szCs w:val="32"/>
        </w:rPr>
        <w:t>购置、在线教学资源费</w:t>
      </w:r>
      <w:r>
        <w:rPr>
          <w:rStyle w:val="18"/>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每人费用标准120元</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lang w:val="en-US" w:eastAsia="zh-CN"/>
        </w:rPr>
        <w:t>资料</w:t>
      </w:r>
      <w:r>
        <w:rPr>
          <w:rStyle w:val="18"/>
          <w:rFonts w:hint="eastAsia" w:ascii="仿宋_GB2312" w:hAnsi="仿宋_GB2312" w:eastAsia="仿宋_GB2312" w:cs="仿宋_GB2312"/>
          <w:sz w:val="32"/>
          <w:szCs w:val="32"/>
        </w:rPr>
        <w:t>印制</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组织招生</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管理</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跟踪服务</w:t>
      </w:r>
      <w:r>
        <w:rPr>
          <w:rStyle w:val="18"/>
          <w:rFonts w:hint="eastAsia" w:ascii="仿宋_GB2312" w:hAnsi="仿宋_GB2312" w:eastAsia="仿宋_GB2312" w:cs="仿宋_GB2312"/>
          <w:sz w:val="32"/>
          <w:szCs w:val="32"/>
          <w:lang w:eastAsia="zh-CN"/>
        </w:rPr>
        <w:t>、</w:t>
      </w:r>
      <w:r>
        <w:rPr>
          <w:rStyle w:val="18"/>
          <w:rFonts w:hint="eastAsia" w:ascii="仿宋_GB2312" w:hAnsi="仿宋_GB2312" w:eastAsia="仿宋_GB2312" w:cs="仿宋_GB2312"/>
          <w:sz w:val="32"/>
          <w:szCs w:val="32"/>
        </w:rPr>
        <w:t>信息化手段利用以及</w:t>
      </w:r>
      <w:r>
        <w:rPr>
          <w:rStyle w:val="18"/>
          <w:rFonts w:hint="eastAsia" w:ascii="仿宋_GB2312" w:hAnsi="仿宋_GB2312" w:eastAsia="仿宋_GB2312" w:cs="仿宋_GB2312"/>
          <w:sz w:val="32"/>
          <w:szCs w:val="32"/>
          <w:shd w:val="clear" w:color="auto" w:fill="auto"/>
        </w:rPr>
        <w:t>培训宣传等方</w:t>
      </w:r>
      <w:r>
        <w:rPr>
          <w:rStyle w:val="18"/>
          <w:rFonts w:hint="eastAsia" w:ascii="仿宋_GB2312" w:hAnsi="仿宋_GB2312" w:eastAsia="仿宋_GB2312" w:cs="仿宋_GB2312"/>
          <w:sz w:val="32"/>
          <w:szCs w:val="32"/>
        </w:rPr>
        <w:t>面的支出。</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lang w:val="en-US" w:eastAsia="zh-CN"/>
        </w:rPr>
        <w:t>四、</w:t>
      </w:r>
      <w:r>
        <w:rPr>
          <w:rFonts w:hint="eastAsia" w:ascii="黑体" w:hAnsi="黑体" w:eastAsia="黑体" w:cs="黑体"/>
          <w:b w:val="0"/>
          <w:bCs/>
          <w:color w:val="000000"/>
          <w:sz w:val="32"/>
          <w:szCs w:val="32"/>
        </w:rPr>
        <w:t>工作要求</w:t>
      </w:r>
    </w:p>
    <w:p>
      <w:pPr>
        <w:keepNext w:val="0"/>
        <w:keepLines w:val="0"/>
        <w:pageBreakBefore w:val="0"/>
        <w:kinsoku/>
        <w:wordWrap/>
        <w:overflowPunct/>
        <w:topLinePunct w:val="0"/>
        <w:autoSpaceDE/>
        <w:autoSpaceDN/>
        <w:bidi w:val="0"/>
        <w:adjustRightInd/>
        <w:snapToGrid w:val="0"/>
        <w:spacing w:beforeAutospacing="0" w:afterAutospacing="0" w:line="600" w:lineRule="exact"/>
        <w:ind w:firstLine="640" w:firstLineChars="200"/>
        <w:textAlignment w:val="auto"/>
        <w:rPr>
          <w:rFonts w:hint="eastAsia" w:ascii="仿宋_GB2312" w:hAnsi="仿宋_GB2312" w:eastAsia="仿宋_GB2312" w:cs="仿宋_GB2312"/>
          <w:color w:val="000000"/>
          <w:sz w:val="32"/>
          <w:szCs w:val="32"/>
          <w:lang w:eastAsia="zh-CN"/>
        </w:rPr>
      </w:pPr>
      <w:r>
        <w:rPr>
          <w:rStyle w:val="16"/>
          <w:rFonts w:hint="eastAsia" w:ascii="楷体_GB2312" w:hAnsi="楷体_GB2312" w:eastAsia="楷体_GB2312" w:cs="楷体_GB2312"/>
          <w:sz w:val="32"/>
          <w:szCs w:val="32"/>
        </w:rPr>
        <w:t>（一）精心遴选培训对象。</w:t>
      </w:r>
      <w:r>
        <w:rPr>
          <w:rFonts w:hint="eastAsia" w:ascii="仿宋_GB2312" w:hAnsi="仿宋_GB2312" w:eastAsia="仿宋_GB2312" w:cs="仿宋_GB2312"/>
          <w:bCs/>
          <w:sz w:val="32"/>
          <w:szCs w:val="32"/>
        </w:rPr>
        <w:t>严格执行</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高素质农民培训规范（试行）</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，精准遴选培训对象，要以</w:t>
      </w:r>
      <w:r>
        <w:rPr>
          <w:rFonts w:hint="eastAsia" w:ascii="仿宋_GB2312" w:hAnsi="仿宋_GB2312" w:eastAsia="仿宋_GB2312" w:cs="仿宋_GB2312"/>
          <w:bCs/>
          <w:sz w:val="32"/>
          <w:szCs w:val="32"/>
          <w:lang w:val="en-US" w:eastAsia="zh-CN"/>
        </w:rPr>
        <w:t>乡镇</w:t>
      </w:r>
      <w:r>
        <w:rPr>
          <w:rFonts w:hint="eastAsia" w:ascii="仿宋_GB2312" w:hAnsi="仿宋_GB2312" w:eastAsia="仿宋_GB2312" w:cs="仿宋_GB2312"/>
          <w:bCs/>
          <w:sz w:val="32"/>
          <w:szCs w:val="32"/>
        </w:rPr>
        <w:t>为单位对培育对象进行调查摸底，摸清参训农民的数量和需求，建立培训对象库，组织培训对象登录中国农村远程教育网“农民教育培训申报系统”或手机下载“云上智农”报名参加培训。</w:t>
      </w:r>
      <w:r>
        <w:rPr>
          <w:rFonts w:hint="eastAsia" w:ascii="仿宋_GB2312" w:hAnsi="仿宋_GB2312" w:eastAsia="仿宋_GB2312" w:cs="仿宋_GB2312"/>
          <w:sz w:val="32"/>
          <w:szCs w:val="32"/>
        </w:rPr>
        <w:t>充分利用广播、电视、报纸、微信等现代传媒手段，加大开展高素质农民培训宣传力度，做到有愿望参加培训的农民应知尽</w:t>
      </w:r>
      <w:r>
        <w:rPr>
          <w:rFonts w:hint="eastAsia" w:ascii="仿宋_GB2312" w:hAnsi="仿宋_GB2312" w:eastAsia="仿宋_GB2312" w:cs="仿宋_GB2312"/>
          <w:color w:val="000000"/>
          <w:sz w:val="32"/>
          <w:szCs w:val="32"/>
        </w:rPr>
        <w:t>知。</w:t>
      </w:r>
    </w:p>
    <w:p>
      <w:pPr>
        <w:keepNext w:val="0"/>
        <w:keepLines w:val="0"/>
        <w:pageBreakBefore w:val="0"/>
        <w:kinsoku/>
        <w:wordWrap/>
        <w:overflowPunct/>
        <w:topLinePunct w:val="0"/>
        <w:autoSpaceDE/>
        <w:autoSpaceDN/>
        <w:bidi w:val="0"/>
        <w:adjustRightInd/>
        <w:spacing w:line="600" w:lineRule="exact"/>
        <w:textAlignment w:val="auto"/>
        <w:rPr>
          <w:rStyle w:val="16"/>
          <w:rFonts w:hint="eastAsia" w:ascii="仿宋_GB2312" w:hAnsi="仿宋_GB2312" w:eastAsia="仿宋_GB2312" w:cs="仿宋_GB2312"/>
          <w:sz w:val="32"/>
          <w:szCs w:val="32"/>
        </w:rPr>
      </w:pPr>
      <w:r>
        <w:rPr>
          <w:rStyle w:val="16"/>
          <w:rFonts w:hint="eastAsia" w:ascii="仿宋_GB2312" w:hAnsi="仿宋_GB2312" w:eastAsia="仿宋_GB2312" w:cs="仿宋_GB2312"/>
          <w:sz w:val="32"/>
          <w:szCs w:val="32"/>
          <w:lang w:val="en-US"/>
        </w:rPr>
        <w:t xml:space="preserve">   </w:t>
      </w:r>
      <w:r>
        <w:rPr>
          <w:rStyle w:val="16"/>
          <w:rFonts w:hint="eastAsia" w:ascii="楷体_GB2312" w:hAnsi="楷体_GB2312" w:eastAsia="楷体_GB2312" w:cs="楷体_GB2312"/>
          <w:sz w:val="32"/>
          <w:szCs w:val="32"/>
        </w:rPr>
        <w:t>（</w:t>
      </w:r>
      <w:r>
        <w:rPr>
          <w:rStyle w:val="16"/>
          <w:rFonts w:hint="eastAsia" w:ascii="楷体_GB2312" w:hAnsi="楷体_GB2312" w:eastAsia="楷体_GB2312" w:cs="楷体_GB2312"/>
          <w:sz w:val="32"/>
          <w:szCs w:val="32"/>
          <w:lang w:val="en-US"/>
        </w:rPr>
        <w:t>二</w:t>
      </w:r>
      <w:r>
        <w:rPr>
          <w:rStyle w:val="16"/>
          <w:rFonts w:hint="eastAsia" w:ascii="楷体_GB2312" w:hAnsi="楷体_GB2312" w:eastAsia="楷体_GB2312" w:cs="楷体_GB2312"/>
          <w:sz w:val="32"/>
          <w:szCs w:val="32"/>
        </w:rPr>
        <w:t>）创新培育内容与模式。</w:t>
      </w:r>
      <w:r>
        <w:rPr>
          <w:rFonts w:hint="eastAsia" w:ascii="仿宋_GB2312" w:hAnsi="仿宋_GB2312" w:eastAsia="仿宋_GB2312" w:cs="仿宋_GB2312"/>
          <w:bCs/>
          <w:sz w:val="32"/>
          <w:szCs w:val="32"/>
        </w:rPr>
        <w:t>各培训机构要根据培训需求制定“订单式</w:t>
      </w:r>
      <w:r>
        <w:rPr>
          <w:rStyle w:val="16"/>
          <w:rFonts w:hint="eastAsia" w:ascii="仿宋_GB2312" w:hAnsi="仿宋_GB2312" w:eastAsia="仿宋_GB2312" w:cs="仿宋_GB2312"/>
          <w:sz w:val="32"/>
          <w:szCs w:val="32"/>
        </w:rPr>
        <w:t>”“差异化”培训计划，合理设置培训时长，强化训后技术指导和跟踪服务。</w:t>
      </w:r>
      <w:r>
        <w:rPr>
          <w:rStyle w:val="16"/>
          <w:rFonts w:hint="eastAsia" w:ascii="仿宋_GB2312" w:hAnsi="仿宋_GB2312" w:eastAsia="仿宋_GB2312" w:cs="仿宋_GB2312"/>
          <w:sz w:val="32"/>
          <w:szCs w:val="32"/>
          <w:lang w:val="en-US"/>
        </w:rPr>
        <w:t>要</w:t>
      </w:r>
      <w:r>
        <w:rPr>
          <w:rStyle w:val="16"/>
          <w:rFonts w:hint="eastAsia" w:ascii="仿宋_GB2312" w:hAnsi="仿宋_GB2312" w:eastAsia="仿宋_GB2312" w:cs="仿宋_GB2312"/>
          <w:sz w:val="32"/>
          <w:szCs w:val="32"/>
        </w:rPr>
        <w:t>顺应农民需求开展全产业链培训，同时将转基因科普、党史学习等内容纳入培训计划。加大“走出去”培训力度，实地学习外</w:t>
      </w:r>
      <w:r>
        <w:rPr>
          <w:rStyle w:val="16"/>
          <w:rFonts w:hint="eastAsia" w:ascii="仿宋_GB2312" w:hAnsi="仿宋_GB2312" w:eastAsia="仿宋_GB2312" w:cs="仿宋_GB2312"/>
          <w:sz w:val="32"/>
          <w:szCs w:val="32"/>
          <w:lang w:val="en-US"/>
        </w:rPr>
        <w:t>地</w:t>
      </w:r>
      <w:r>
        <w:rPr>
          <w:rStyle w:val="16"/>
          <w:rFonts w:hint="eastAsia" w:ascii="仿宋_GB2312" w:hAnsi="仿宋_GB2312" w:eastAsia="仿宋_GB2312" w:cs="仿宋_GB2312"/>
          <w:sz w:val="32"/>
          <w:szCs w:val="32"/>
        </w:rPr>
        <w:t>先进典型和模式。</w:t>
      </w:r>
      <w:r>
        <w:rPr>
          <w:rFonts w:hint="eastAsia" w:ascii="仿宋_GB2312" w:hAnsi="仿宋_GB2312" w:eastAsia="仿宋_GB2312" w:cs="仿宋_GB2312"/>
          <w:sz w:val="32"/>
          <w:szCs w:val="32"/>
        </w:rPr>
        <w:t>加大在线教学力度，</w:t>
      </w:r>
      <w:r>
        <w:rPr>
          <w:rStyle w:val="16"/>
          <w:rFonts w:hint="eastAsia" w:ascii="仿宋_GB2312" w:hAnsi="仿宋_GB2312" w:eastAsia="仿宋_GB2312" w:cs="仿宋_GB2312"/>
          <w:sz w:val="32"/>
          <w:szCs w:val="32"/>
        </w:rPr>
        <w:t>探索利用天天学农新平台开展线上教学试点工作，</w:t>
      </w:r>
      <w:r>
        <w:rPr>
          <w:rFonts w:hint="eastAsia" w:ascii="仿宋_GB2312" w:hAnsi="仿宋_GB2312" w:eastAsia="仿宋_GB2312" w:cs="仿宋_GB2312"/>
          <w:sz w:val="32"/>
          <w:szCs w:val="32"/>
          <w:lang w:val="en-US" w:eastAsia="zh-CN"/>
        </w:rPr>
        <w:t>把</w:t>
      </w:r>
      <w:r>
        <w:rPr>
          <w:rFonts w:hint="eastAsia" w:ascii="仿宋_GB2312" w:hAnsi="仿宋_GB2312" w:eastAsia="仿宋_GB2312" w:cs="仿宋_GB2312"/>
          <w:sz w:val="32"/>
          <w:szCs w:val="32"/>
        </w:rPr>
        <w:t>利用天天学农平台开展高素质农民培育线上学习作为培训跟踪服务阶段（总学时30学时）的内容，培训课时12学时，</w:t>
      </w:r>
      <w:r>
        <w:rPr>
          <w:rStyle w:val="16"/>
          <w:rFonts w:hint="eastAsia" w:ascii="仿宋_GB2312" w:hAnsi="仿宋_GB2312" w:eastAsia="仿宋_GB2312" w:cs="仿宋_GB2312"/>
          <w:sz w:val="32"/>
          <w:szCs w:val="32"/>
        </w:rPr>
        <w:t>真正实现线上线下混合式教学，提高培训针对性和质量效果。</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Style w:val="16"/>
          <w:rFonts w:hint="eastAsia" w:ascii="仿宋_GB2312" w:hAnsi="仿宋_GB2312" w:eastAsia="仿宋_GB2312" w:cs="仿宋_GB2312"/>
          <w:sz w:val="32"/>
          <w:szCs w:val="32"/>
        </w:rPr>
      </w:pPr>
      <w:r>
        <w:rPr>
          <w:rStyle w:val="16"/>
          <w:rFonts w:hint="eastAsia" w:ascii="楷体_GB2312" w:hAnsi="楷体_GB2312" w:eastAsia="楷体_GB2312" w:cs="楷体_GB2312"/>
          <w:sz w:val="32"/>
          <w:szCs w:val="32"/>
        </w:rPr>
        <w:t>（</w:t>
      </w:r>
      <w:r>
        <w:rPr>
          <w:rStyle w:val="16"/>
          <w:rFonts w:hint="eastAsia" w:ascii="楷体_GB2312" w:hAnsi="楷体_GB2312" w:eastAsia="楷体_GB2312" w:cs="楷体_GB2312"/>
          <w:sz w:val="32"/>
          <w:szCs w:val="32"/>
          <w:lang w:val="en-US"/>
        </w:rPr>
        <w:t>三</w:t>
      </w:r>
      <w:r>
        <w:rPr>
          <w:rStyle w:val="16"/>
          <w:rFonts w:hint="eastAsia" w:ascii="楷体_GB2312" w:hAnsi="楷体_GB2312" w:eastAsia="楷体_GB2312" w:cs="楷体_GB2312"/>
          <w:sz w:val="32"/>
          <w:szCs w:val="32"/>
        </w:rPr>
        <w:t>）大力强化培育体系建设。</w:t>
      </w:r>
      <w:r>
        <w:rPr>
          <w:rStyle w:val="16"/>
          <w:rFonts w:hint="eastAsia" w:ascii="仿宋_GB2312" w:hAnsi="仿宋_GB2312" w:eastAsia="仿宋_GB2312" w:cs="仿宋_GB2312"/>
          <w:sz w:val="32"/>
          <w:szCs w:val="32"/>
        </w:rPr>
        <w:t>统筹利用各类优质教育培训资源，构建开放、多元、立体的高素质农民培育体系。充分发挥农广校农民教育培训主体力量作用，积极开展摸底调查、组织实施、系统管理、项目指导等工作，协助做好监督管理、绩效评价等工作。充分发挥行业、农业龙头企业、农业合作社等各类农业教育资源，构建多元化培训载体。引导市场化教育培训机构通过政府购买服务等方式有序规范参与高素质农民培育工作，规范市场主体培训行为。鼓励利用乡村振兴人才培养优质校资源，探索建立农民学分银行，推进农民短期培训、职业培训和学历教育衔接贯通。</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Style w:val="16"/>
          <w:rFonts w:hint="eastAsia" w:ascii="仿宋_GB2312" w:hAnsi="仿宋_GB2312" w:eastAsia="仿宋_GB2312" w:cs="仿宋_GB2312"/>
          <w:sz w:val="32"/>
          <w:szCs w:val="32"/>
        </w:rPr>
      </w:pPr>
      <w:r>
        <w:rPr>
          <w:rStyle w:val="16"/>
          <w:rFonts w:hint="eastAsia" w:ascii="楷体_GB2312" w:hAnsi="楷体_GB2312" w:eastAsia="楷体_GB2312" w:cs="楷体_GB2312"/>
          <w:sz w:val="32"/>
          <w:szCs w:val="32"/>
        </w:rPr>
        <w:t>（</w:t>
      </w:r>
      <w:r>
        <w:rPr>
          <w:rStyle w:val="16"/>
          <w:rFonts w:hint="eastAsia" w:ascii="楷体_GB2312" w:hAnsi="楷体_GB2312" w:eastAsia="楷体_GB2312" w:cs="楷体_GB2312"/>
          <w:sz w:val="32"/>
          <w:szCs w:val="32"/>
          <w:lang w:val="en-US" w:eastAsia="zh-CN"/>
        </w:rPr>
        <w:t>四</w:t>
      </w:r>
      <w:r>
        <w:rPr>
          <w:rStyle w:val="16"/>
          <w:rFonts w:hint="eastAsia" w:ascii="楷体_GB2312" w:hAnsi="楷体_GB2312" w:eastAsia="楷体_GB2312" w:cs="楷体_GB2312"/>
          <w:sz w:val="32"/>
          <w:szCs w:val="32"/>
        </w:rPr>
        <w:t>）注重农民教育培训能力建设。</w:t>
      </w:r>
      <w:r>
        <w:rPr>
          <w:rStyle w:val="16"/>
          <w:rFonts w:hint="eastAsia" w:ascii="仿宋_GB2312" w:hAnsi="仿宋_GB2312" w:eastAsia="仿宋_GB2312" w:cs="仿宋_GB2312"/>
          <w:sz w:val="32"/>
          <w:szCs w:val="32"/>
        </w:rPr>
        <w:t>继续推进培训基地规范化、标准化建设，把技术培训与生产周期紧密结合起来，促进学以致用、教学相长。加强师资队伍建设，进一步遴选优化农民教育培训讲师团成员，巩固管理者队伍，增强统筹协调、组织管理、教学教研、开拓创新能力。加强线上线下课程开发和规范化建设，将农业农村现代化发展大政方针、农业产业发展形势趋势、农业安全生产、农担融资及小微企业创新创业扶持政策等纳入培训课程。支持发挥农村“土专家”“田秀才”“传统艺人”的作用，探索“师傅带徒”培养模式，有效形成一批可复制推广的创新型人才培养模式。</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sz w:val="32"/>
          <w:szCs w:val="32"/>
        </w:rPr>
      </w:pPr>
      <w:r>
        <w:rPr>
          <w:rStyle w:val="16"/>
          <w:rFonts w:hint="eastAsia" w:ascii="楷体_GB2312" w:hAnsi="楷体_GB2312" w:eastAsia="楷体_GB2312" w:cs="楷体_GB2312"/>
          <w:sz w:val="32"/>
          <w:szCs w:val="32"/>
        </w:rPr>
        <w:t>（</w:t>
      </w:r>
      <w:r>
        <w:rPr>
          <w:rStyle w:val="16"/>
          <w:rFonts w:hint="eastAsia" w:ascii="楷体_GB2312" w:hAnsi="楷体_GB2312" w:eastAsia="楷体_GB2312" w:cs="楷体_GB2312"/>
          <w:sz w:val="32"/>
          <w:szCs w:val="32"/>
          <w:lang w:val="en-US"/>
        </w:rPr>
        <w:t>五</w:t>
      </w:r>
      <w:r>
        <w:rPr>
          <w:rStyle w:val="16"/>
          <w:rFonts w:hint="eastAsia" w:ascii="楷体_GB2312" w:hAnsi="楷体_GB2312" w:eastAsia="楷体_GB2312" w:cs="楷体_GB2312"/>
          <w:sz w:val="32"/>
          <w:szCs w:val="32"/>
        </w:rPr>
        <w:t>）加大人才培养服务保障工作。</w:t>
      </w:r>
      <w:r>
        <w:rPr>
          <w:rStyle w:val="16"/>
          <w:rFonts w:hint="eastAsia" w:ascii="仿宋_GB2312" w:hAnsi="仿宋_GB2312" w:eastAsia="仿宋_GB2312" w:cs="仿宋_GB2312"/>
          <w:sz w:val="32"/>
          <w:szCs w:val="32"/>
        </w:rPr>
        <w:t>强化训后技术指导和跟踪服务，</w:t>
      </w:r>
      <w:r>
        <w:rPr>
          <w:rFonts w:hint="eastAsia" w:ascii="仿宋_GB2312" w:hAnsi="仿宋_GB2312" w:eastAsia="仿宋_GB2312" w:cs="仿宋_GB2312"/>
          <w:sz w:val="32"/>
          <w:szCs w:val="32"/>
        </w:rPr>
        <w:t>持续跟踪农民训后产业发展，开展政策宣讲、项目推介、技术指导等延伸服务。</w:t>
      </w:r>
      <w:r>
        <w:rPr>
          <w:rStyle w:val="16"/>
          <w:rFonts w:hint="eastAsia" w:ascii="仿宋_GB2312" w:hAnsi="仿宋_GB2312" w:eastAsia="仿宋_GB2312" w:cs="仿宋_GB2312"/>
          <w:sz w:val="32"/>
          <w:szCs w:val="32"/>
        </w:rPr>
        <w:t>加强与金融部门沟通协调，</w:t>
      </w:r>
      <w:r>
        <w:rPr>
          <w:rFonts w:hint="eastAsia" w:ascii="仿宋_GB2312" w:hAnsi="仿宋_GB2312" w:eastAsia="仿宋_GB2312" w:cs="仿宋_GB2312"/>
          <w:kern w:val="0"/>
          <w:sz w:val="32"/>
          <w:szCs w:val="32"/>
        </w:rPr>
        <w:t>积极对接金融信贷，鼓励农业信贷担保公司面向农民开展符合规定的信用贷款担保业务，支持农商银行面向农民开展相关信贷业务，帮助农民解决产业发展融资难、融资贵的问题。</w:t>
      </w:r>
      <w:r>
        <w:rPr>
          <w:rStyle w:val="16"/>
          <w:rFonts w:hint="eastAsia" w:ascii="仿宋_GB2312" w:hAnsi="仿宋_GB2312" w:eastAsia="仿宋_GB2312" w:cs="仿宋_GB2312"/>
          <w:sz w:val="32"/>
          <w:szCs w:val="32"/>
        </w:rPr>
        <w:t>指导农民专业技术协会、产业联盟等发挥作用，帮助农民抱团发展、协作发展、互补发展。</w:t>
      </w:r>
      <w:r>
        <w:rPr>
          <w:rFonts w:hint="eastAsia" w:ascii="仿宋_GB2312" w:hAnsi="仿宋_GB2312" w:eastAsia="仿宋_GB2312" w:cs="仿宋_GB2312"/>
          <w:kern w:val="0"/>
          <w:sz w:val="32"/>
          <w:szCs w:val="32"/>
        </w:rPr>
        <w:t>支持并组织高素质农民参加多种形式的产销对接、展览展示、创业创新项目路演、专业技能大赛等活动，搭建交流平台，促进互学互助。</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Style w:val="16"/>
          <w:rFonts w:hint="eastAsia" w:ascii="黑体" w:hAnsi="黑体" w:eastAsia="黑体" w:cs="黑体"/>
          <w:b w:val="0"/>
          <w:bCs/>
          <w:sz w:val="32"/>
          <w:szCs w:val="32"/>
        </w:rPr>
      </w:pPr>
      <w:r>
        <w:rPr>
          <w:rStyle w:val="16"/>
          <w:rFonts w:hint="eastAsia" w:ascii="黑体" w:hAnsi="黑体" w:eastAsia="黑体" w:cs="黑体"/>
          <w:b w:val="0"/>
          <w:bCs/>
          <w:sz w:val="32"/>
          <w:szCs w:val="32"/>
          <w:lang w:val="en-US"/>
        </w:rPr>
        <w:t>五</w:t>
      </w:r>
      <w:r>
        <w:rPr>
          <w:rStyle w:val="16"/>
          <w:rFonts w:hint="eastAsia" w:ascii="黑体" w:hAnsi="黑体" w:eastAsia="黑体" w:cs="黑体"/>
          <w:b w:val="0"/>
          <w:bCs/>
          <w:sz w:val="32"/>
          <w:szCs w:val="32"/>
        </w:rPr>
        <w:t>、保障措施</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kern w:val="0"/>
          <w:sz w:val="32"/>
          <w:szCs w:val="32"/>
        </w:rPr>
      </w:pPr>
      <w:r>
        <w:rPr>
          <w:rStyle w:val="16"/>
          <w:rFonts w:hint="eastAsia" w:ascii="楷体_GB2312" w:hAnsi="楷体_GB2312" w:eastAsia="楷体_GB2312" w:cs="楷体_GB2312"/>
          <w:sz w:val="32"/>
          <w:szCs w:val="32"/>
        </w:rPr>
        <w:t>（一）加强组织领导。</w:t>
      </w:r>
      <w:r>
        <w:rPr>
          <w:rFonts w:hint="eastAsia" w:ascii="仿宋_GB2312" w:hAnsi="仿宋_GB2312" w:eastAsia="仿宋_GB2312" w:cs="仿宋_GB2312"/>
          <w:kern w:val="0"/>
          <w:sz w:val="32"/>
          <w:szCs w:val="32"/>
        </w:rPr>
        <w:t>各</w:t>
      </w:r>
      <w:r>
        <w:rPr>
          <w:rFonts w:hint="eastAsia" w:ascii="仿宋_GB2312" w:hAnsi="仿宋_GB2312" w:eastAsia="仿宋_GB2312" w:cs="仿宋_GB2312"/>
          <w:kern w:val="0"/>
          <w:sz w:val="32"/>
          <w:szCs w:val="32"/>
          <w:lang w:val="en-US" w:eastAsia="zh-CN"/>
        </w:rPr>
        <w:t>乡镇</w:t>
      </w:r>
      <w:r>
        <w:rPr>
          <w:rFonts w:hint="eastAsia" w:ascii="仿宋_GB2312" w:hAnsi="仿宋_GB2312" w:eastAsia="仿宋_GB2312" w:cs="仿宋_GB2312"/>
          <w:kern w:val="0"/>
          <w:sz w:val="32"/>
          <w:szCs w:val="32"/>
        </w:rPr>
        <w:t>要认真贯彻落实《中国共产党农村工作条例》，把农民教育培训纳入党委政府“三农”工作和乡村振兴重要议程，明确职责分工，完善工作机制，加强组织管理，任务落实到人。要加强党史学习教育，将农民教育培训与党史学习教育有机结合，教育引导农民听党话、感党恩、跟党走。妇联、共青团、退役军人事务局等部门</w:t>
      </w:r>
      <w:r>
        <w:rPr>
          <w:rFonts w:hint="eastAsia" w:ascii="仿宋_GB2312" w:hAnsi="仿宋_GB2312" w:eastAsia="仿宋_GB2312" w:cs="仿宋_GB2312"/>
          <w:kern w:val="0"/>
          <w:sz w:val="32"/>
          <w:szCs w:val="32"/>
          <w:lang w:val="en-US" w:eastAsia="zh-CN"/>
        </w:rPr>
        <w:t>要主动参与农民教育培训工作</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形成培育工作合力。</w:t>
      </w:r>
    </w:p>
    <w:p>
      <w:pPr>
        <w:keepNext w:val="0"/>
        <w:keepLines w:val="0"/>
        <w:pageBreakBefore w:val="0"/>
        <w:widowControl/>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kern w:val="0"/>
          <w:sz w:val="32"/>
          <w:szCs w:val="32"/>
        </w:rPr>
      </w:pPr>
      <w:r>
        <w:rPr>
          <w:rStyle w:val="16"/>
          <w:rFonts w:hint="eastAsia" w:ascii="楷体_GB2312" w:hAnsi="楷体_GB2312" w:eastAsia="楷体_GB2312" w:cs="楷体_GB2312"/>
          <w:sz w:val="32"/>
          <w:szCs w:val="32"/>
        </w:rPr>
        <w:t>（二）严格培训监督管理。</w:t>
      </w:r>
      <w:r>
        <w:rPr>
          <w:rFonts w:hint="eastAsia" w:ascii="仿宋_GB2312" w:hAnsi="仿宋_GB2312" w:eastAsia="仿宋_GB2312" w:cs="仿宋_GB2312"/>
          <w:kern w:val="0"/>
          <w:sz w:val="32"/>
          <w:szCs w:val="32"/>
          <w:lang w:val="en-US" w:eastAsia="zh-CN"/>
        </w:rPr>
        <w:t>县农业农村部门</w:t>
      </w:r>
      <w:r>
        <w:rPr>
          <w:rFonts w:hint="eastAsia" w:ascii="仿宋_GB2312" w:hAnsi="仿宋_GB2312" w:eastAsia="仿宋_GB2312" w:cs="仿宋_GB2312"/>
          <w:kern w:val="0"/>
          <w:sz w:val="32"/>
          <w:szCs w:val="32"/>
        </w:rPr>
        <w:t>要采取有力措施，落实落细《高素质农民培训规范（试行）》的工作要求，加强培训全过程监管</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定期督导培训进度，随机抽查培训执行情况，提高参训农民满意度。要充分利用农民教育培训信息管理系统，开展培训在线监管和绩效评价，及时组织参训农民对培训教师、培育基地、培训组织和培训效果进行线上评价，实现参训农民基本信息100%入库，培育全程可监测可追溯。</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kern w:val="0"/>
          <w:sz w:val="32"/>
          <w:szCs w:val="32"/>
        </w:rPr>
      </w:pPr>
      <w:r>
        <w:rPr>
          <w:rStyle w:val="16"/>
          <w:rFonts w:hint="eastAsia" w:ascii="楷体_GB2312" w:hAnsi="楷体_GB2312" w:eastAsia="楷体_GB2312" w:cs="楷体_GB2312"/>
          <w:sz w:val="32"/>
          <w:szCs w:val="32"/>
          <w:lang w:eastAsia="zh-CN"/>
        </w:rPr>
        <w:t>（</w:t>
      </w:r>
      <w:r>
        <w:rPr>
          <w:rStyle w:val="16"/>
          <w:rFonts w:hint="eastAsia" w:ascii="楷体_GB2312" w:hAnsi="楷体_GB2312" w:eastAsia="楷体_GB2312" w:cs="楷体_GB2312"/>
          <w:sz w:val="32"/>
          <w:szCs w:val="32"/>
          <w:lang w:val="en-US" w:eastAsia="zh-CN"/>
        </w:rPr>
        <w:t>三</w:t>
      </w:r>
      <w:r>
        <w:rPr>
          <w:rStyle w:val="16"/>
          <w:rFonts w:hint="eastAsia" w:ascii="楷体_GB2312" w:hAnsi="楷体_GB2312" w:eastAsia="楷体_GB2312" w:cs="楷体_GB2312"/>
          <w:sz w:val="32"/>
          <w:szCs w:val="32"/>
          <w:lang w:eastAsia="zh-CN"/>
        </w:rPr>
        <w:t>）</w:t>
      </w:r>
      <w:r>
        <w:rPr>
          <w:rStyle w:val="16"/>
          <w:rFonts w:hint="eastAsia" w:ascii="楷体_GB2312" w:hAnsi="楷体_GB2312" w:eastAsia="楷体_GB2312" w:cs="楷体_GB2312"/>
          <w:sz w:val="32"/>
          <w:szCs w:val="32"/>
          <w:lang w:val="en-US" w:eastAsia="zh-CN"/>
        </w:rPr>
        <w:t>严格资金管理。</w:t>
      </w:r>
      <w:r>
        <w:rPr>
          <w:rStyle w:val="18"/>
          <w:rFonts w:hint="eastAsia" w:ascii="仿宋_GB2312" w:hAnsi="仿宋_GB2312" w:eastAsia="仿宋_GB2312" w:cs="仿宋_GB2312"/>
          <w:sz w:val="32"/>
          <w:szCs w:val="32"/>
          <w:lang w:val="en-US" w:eastAsia="zh-CN"/>
        </w:rPr>
        <w:t>各培训机构要规范、合理使用项目资金，</w:t>
      </w:r>
      <w:r>
        <w:rPr>
          <w:rFonts w:hint="eastAsia" w:ascii="仿宋_GB2312" w:hAnsi="仿宋_GB2312" w:eastAsia="仿宋_GB2312" w:cs="仿宋_GB2312"/>
          <w:kern w:val="0"/>
          <w:sz w:val="32"/>
          <w:szCs w:val="32"/>
        </w:rPr>
        <w:t>严肃财务和培训工作纪律，提高资金使用效益，确保培训资金专款专用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杜绝违纪违规问题</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县财政、农业农村等相关部门</w:t>
      </w:r>
      <w:r>
        <w:rPr>
          <w:rFonts w:ascii="仿宋_GB2312" w:hAnsi="宋体" w:eastAsia="仿宋_GB2312" w:cs="仿宋_GB2312"/>
          <w:b w:val="0"/>
          <w:i w:val="0"/>
          <w:color w:val="000000"/>
          <w:sz w:val="32"/>
          <w:szCs w:val="32"/>
        </w:rPr>
        <w:t>要</w:t>
      </w:r>
      <w:r>
        <w:rPr>
          <w:rFonts w:hint="eastAsia" w:ascii="仿宋_GB2312" w:hAnsi="宋体" w:eastAsia="仿宋_GB2312" w:cs="仿宋_GB2312"/>
          <w:b w:val="0"/>
          <w:i w:val="0"/>
          <w:color w:val="000000"/>
          <w:sz w:val="32"/>
          <w:szCs w:val="32"/>
          <w:lang w:val="en-US" w:eastAsia="zh-CN"/>
        </w:rPr>
        <w:t>做好资金审核、拨付、管理等工作，及时拨付项目资金，</w:t>
      </w:r>
      <w:r>
        <w:rPr>
          <w:rFonts w:ascii="仿宋_GB2312" w:hAnsi="宋体" w:eastAsia="仿宋_GB2312" w:cs="仿宋_GB2312"/>
          <w:b w:val="0"/>
          <w:i w:val="0"/>
          <w:color w:val="000000"/>
          <w:sz w:val="32"/>
          <w:szCs w:val="32"/>
        </w:rPr>
        <w:t>履行资金监管责任，</w:t>
      </w:r>
      <w:r>
        <w:rPr>
          <w:rFonts w:hint="eastAsia" w:ascii="仿宋_GB2312" w:hAnsi="仿宋_GB2312" w:eastAsia="仿宋_GB2312" w:cs="仿宋_GB2312"/>
          <w:kern w:val="0"/>
          <w:sz w:val="32"/>
          <w:szCs w:val="32"/>
        </w:rPr>
        <w:t>保障资金使用</w:t>
      </w:r>
      <w:r>
        <w:rPr>
          <w:rFonts w:hint="eastAsia" w:ascii="仿宋_GB2312" w:hAnsi="仿宋_GB2312" w:eastAsia="仿宋_GB2312" w:cs="仿宋_GB2312"/>
          <w:kern w:val="0"/>
          <w:sz w:val="32"/>
          <w:szCs w:val="32"/>
          <w:lang w:val="en-US" w:eastAsia="zh-CN"/>
        </w:rPr>
        <w:t>有力</w:t>
      </w:r>
      <w:r>
        <w:rPr>
          <w:rFonts w:hint="eastAsia" w:ascii="仿宋_GB2312" w:hAnsi="仿宋_GB2312" w:eastAsia="仿宋_GB2312" w:cs="仿宋_GB2312"/>
          <w:kern w:val="0"/>
          <w:sz w:val="32"/>
          <w:szCs w:val="32"/>
        </w:rPr>
        <w:t>有效。</w:t>
      </w:r>
    </w:p>
    <w:p>
      <w:pPr>
        <w:keepNext w:val="0"/>
        <w:keepLines w:val="0"/>
        <w:pageBreakBefore w:val="0"/>
        <w:kinsoku/>
        <w:wordWrap/>
        <w:overflowPunct/>
        <w:topLinePunct w:val="0"/>
        <w:autoSpaceDE/>
        <w:autoSpaceDN/>
        <w:bidi w:val="0"/>
        <w:adjustRightInd/>
        <w:spacing w:beforeAutospacing="0" w:afterAutospacing="0" w:line="600" w:lineRule="exact"/>
        <w:ind w:firstLine="640" w:firstLineChars="200"/>
        <w:textAlignment w:val="auto"/>
        <w:rPr>
          <w:rFonts w:hint="eastAsia" w:ascii="仿宋_GB2312" w:hAnsi="仿宋_GB2312" w:eastAsia="仿宋_GB2312" w:cs="仿宋_GB2312"/>
          <w:kern w:val="0"/>
          <w:sz w:val="32"/>
          <w:szCs w:val="32"/>
        </w:rPr>
      </w:pPr>
      <w:r>
        <w:rPr>
          <w:rStyle w:val="16"/>
          <w:rFonts w:hint="eastAsia" w:ascii="楷体_GB2312" w:hAnsi="楷体_GB2312" w:eastAsia="楷体_GB2312" w:cs="楷体_GB2312"/>
          <w:sz w:val="32"/>
          <w:szCs w:val="32"/>
        </w:rPr>
        <w:t>（四）推广培育成果。</w:t>
      </w:r>
      <w:r>
        <w:rPr>
          <w:rFonts w:hint="eastAsia" w:ascii="仿宋_GB2312" w:hAnsi="仿宋_GB2312" w:eastAsia="仿宋_GB2312" w:cs="仿宋_GB2312"/>
          <w:kern w:val="0"/>
          <w:sz w:val="32"/>
          <w:szCs w:val="32"/>
          <w:lang w:val="en-US" w:eastAsia="zh-CN"/>
        </w:rPr>
        <w:t>相关部门</w:t>
      </w:r>
      <w:r>
        <w:rPr>
          <w:rFonts w:hint="eastAsia" w:ascii="仿宋_GB2312" w:hAnsi="仿宋_GB2312" w:eastAsia="仿宋_GB2312" w:cs="仿宋_GB2312"/>
          <w:kern w:val="0"/>
          <w:sz w:val="32"/>
          <w:szCs w:val="32"/>
        </w:rPr>
        <w:t>要认真总结挖掘高素质农民培育的典型经验和创新做法，积极组织开展名师、精品课程和高素质农民典型等评选活动，树立一批各具特色新模式和好典型。要充分利用广播电视、报刊以及新媒体</w:t>
      </w:r>
      <w:r>
        <w:rPr>
          <w:rFonts w:hint="eastAsia" w:ascii="仿宋_GB2312" w:hAnsi="仿宋_GB2312" w:eastAsia="仿宋_GB2312" w:cs="仿宋_GB2312"/>
          <w:sz w:val="32"/>
          <w:szCs w:val="32"/>
        </w:rPr>
        <w:t>开展</w:t>
      </w:r>
      <w:r>
        <w:rPr>
          <w:rFonts w:hint="eastAsia" w:ascii="仿宋_GB2312" w:hAnsi="仿宋_GB2312" w:eastAsia="仿宋_GB2312" w:cs="仿宋_GB2312"/>
          <w:kern w:val="0"/>
          <w:sz w:val="32"/>
          <w:szCs w:val="32"/>
        </w:rPr>
        <w:t>宣传报道，</w:t>
      </w:r>
      <w:r>
        <w:rPr>
          <w:rFonts w:hint="eastAsia" w:ascii="仿宋_GB2312" w:hAnsi="仿宋_GB2312" w:eastAsia="仿宋_GB2312" w:cs="仿宋_GB2312"/>
          <w:color w:val="000000"/>
          <w:sz w:val="32"/>
          <w:szCs w:val="32"/>
        </w:rPr>
        <w:t>讲好高素质农民成长成才故事，</w:t>
      </w:r>
      <w:r>
        <w:rPr>
          <w:rFonts w:hint="eastAsia" w:ascii="仿宋_GB2312" w:hAnsi="仿宋_GB2312" w:eastAsia="仿宋_GB2312" w:cs="仿宋_GB2312"/>
          <w:kern w:val="0"/>
          <w:sz w:val="32"/>
          <w:szCs w:val="32"/>
        </w:rPr>
        <w:t>大力弘扬“学习光荣、素质高贵、创造伟大”的时代风尚，营造全社会关心支持高素质农民培育工作的良好氛围。</w:t>
      </w:r>
    </w:p>
    <w:p>
      <w:pPr>
        <w:keepNext w:val="0"/>
        <w:keepLines w:val="0"/>
        <w:pageBreakBefore w:val="0"/>
        <w:kinsoku/>
        <w:wordWrap/>
        <w:overflowPunct/>
        <w:topLinePunct w:val="0"/>
        <w:autoSpaceDE/>
        <w:autoSpaceDN/>
        <w:bidi w:val="0"/>
        <w:adjustRightInd/>
        <w:spacing w:line="600" w:lineRule="exact"/>
        <w:ind w:right="-59"/>
        <w:jc w:val="lef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w:t>
      </w:r>
    </w:p>
    <w:p>
      <w:pPr>
        <w:keepNext w:val="0"/>
        <w:keepLines w:val="0"/>
        <w:pageBreakBefore w:val="0"/>
        <w:kinsoku/>
        <w:wordWrap/>
        <w:overflowPunct/>
        <w:topLinePunct w:val="0"/>
        <w:autoSpaceDE/>
        <w:autoSpaceDN/>
        <w:bidi w:val="0"/>
        <w:adjustRightInd/>
        <w:spacing w:line="600" w:lineRule="exact"/>
        <w:ind w:right="-59" w:firstLine="640" w:firstLineChars="200"/>
        <w:jc w:val="left"/>
        <w:textAlignment w:val="auto"/>
        <w:rPr>
          <w:rFonts w:hint="eastAsia" w:ascii="仿宋" w:hAnsi="仿宋" w:eastAsia="仿宋" w:cs="仿宋"/>
          <w:bCs/>
          <w:sz w:val="32"/>
          <w:szCs w:val="32"/>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202</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年郯城县高素质农民培育任务指标</w:t>
      </w:r>
    </w:p>
    <w:p>
      <w:pPr>
        <w:keepNext w:val="0"/>
        <w:keepLines w:val="0"/>
        <w:pageBreakBefore w:val="0"/>
        <w:kinsoku/>
        <w:wordWrap/>
        <w:overflowPunct/>
        <w:topLinePunct w:val="0"/>
        <w:autoSpaceDE/>
        <w:autoSpaceDN/>
        <w:bidi w:val="0"/>
        <w:adjustRightInd/>
        <w:spacing w:line="600" w:lineRule="exact"/>
        <w:ind w:right="-59"/>
        <w:jc w:val="left"/>
        <w:textAlignment w:val="auto"/>
        <w:rPr>
          <w:rFonts w:hint="eastAsia" w:ascii="黑体" w:hAnsi="黑体" w:eastAsia="黑体" w:cs="黑体"/>
          <w:bCs/>
          <w:sz w:val="32"/>
          <w:szCs w:val="32"/>
        </w:rPr>
      </w:pPr>
      <w:r>
        <w:rPr>
          <w:rFonts w:hint="eastAsia" w:ascii="黑体" w:hAnsi="黑体" w:eastAsia="黑体" w:cs="黑体"/>
          <w:bCs/>
          <w:sz w:val="32"/>
          <w:szCs w:val="32"/>
        </w:rPr>
        <w:br w:type="page"/>
      </w:r>
      <w:r>
        <w:rPr>
          <w:rFonts w:hint="eastAsia" w:ascii="黑体" w:hAnsi="黑体" w:eastAsia="黑体" w:cs="黑体"/>
          <w:bCs/>
          <w:sz w:val="32"/>
          <w:szCs w:val="32"/>
        </w:rPr>
        <w:t>附件</w:t>
      </w:r>
      <w:r>
        <w:rPr>
          <w:rFonts w:hint="eastAsia" w:ascii="黑体" w:hAnsi="黑体" w:eastAsia="黑体" w:cs="黑体"/>
          <w:bCs/>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right="0"/>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2021</w:t>
      </w:r>
      <w:r>
        <w:rPr>
          <w:rFonts w:hint="eastAsia" w:ascii="方正小标宋简体" w:hAnsi="方正小标宋简体" w:eastAsia="方正小标宋简体" w:cs="方正小标宋简体"/>
          <w:bCs/>
          <w:sz w:val="44"/>
          <w:szCs w:val="44"/>
        </w:rPr>
        <w:t>年郯城县高素质农民培育任务指标</w:t>
      </w:r>
    </w:p>
    <w:p>
      <w:pPr>
        <w:keepNext w:val="0"/>
        <w:keepLines w:val="0"/>
        <w:pageBreakBefore w:val="0"/>
        <w:widowControl w:val="0"/>
        <w:kinsoku/>
        <w:wordWrap/>
        <w:overflowPunct/>
        <w:topLinePunct w:val="0"/>
        <w:autoSpaceDE/>
        <w:autoSpaceDN/>
        <w:bidi w:val="0"/>
        <w:adjustRightInd/>
        <w:snapToGrid/>
        <w:spacing w:line="600" w:lineRule="exact"/>
        <w:ind w:right="0"/>
        <w:jc w:val="center"/>
        <w:textAlignment w:val="auto"/>
        <w:rPr>
          <w:rFonts w:hint="eastAsia" w:ascii="仿宋_GB2312" w:hAnsi="仿宋_GB2312" w:eastAsia="仿宋_GB2312" w:cs="仿宋_GB2312"/>
          <w:bCs/>
          <w:sz w:val="28"/>
          <w:szCs w:val="28"/>
          <w:lang w:eastAsia="zh-CN"/>
        </w:rPr>
      </w:pPr>
      <w:r>
        <w:rPr>
          <w:rFonts w:hint="eastAsia" w:ascii="方正小标宋简体" w:hAnsi="方正小标宋简体" w:eastAsia="方正小标宋简体" w:cs="方正小标宋简体"/>
          <w:bCs/>
          <w:sz w:val="44"/>
          <w:szCs w:val="44"/>
          <w:lang w:val="en-US" w:eastAsia="zh-CN"/>
        </w:rPr>
        <w:t xml:space="preserve">                            </w:t>
      </w:r>
      <w:r>
        <w:rPr>
          <w:rFonts w:hint="eastAsia" w:ascii="仿宋_GB2312" w:hAnsi="仿宋_GB2312" w:eastAsia="仿宋_GB2312" w:cs="仿宋_GB2312"/>
          <w:bCs/>
          <w:sz w:val="28"/>
          <w:szCs w:val="28"/>
          <w:lang w:eastAsia="zh-CN"/>
        </w:rPr>
        <w:t>单位：人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012"/>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9" w:leftChars="-295" w:firstLine="619" w:firstLineChars="258"/>
              <w:jc w:val="center"/>
              <w:textAlignment w:val="auto"/>
              <w:rPr>
                <w:rFonts w:hint="eastAsia" w:ascii="黑体" w:hAnsi="黑体" w:eastAsia="黑体" w:cs="黑体"/>
                <w:bCs/>
                <w:kern w:val="2"/>
                <w:sz w:val="24"/>
                <w:szCs w:val="24"/>
                <w:lang w:val="en-US" w:eastAsia="zh-CN" w:bidi="ar-SA"/>
              </w:rPr>
            </w:pPr>
            <w:r>
              <w:rPr>
                <w:rFonts w:hint="eastAsia" w:ascii="黑体" w:hAnsi="黑体" w:eastAsia="黑体" w:cs="黑体"/>
                <w:bCs/>
                <w:sz w:val="24"/>
                <w:szCs w:val="24"/>
              </w:rPr>
              <w:t>乡镇</w:t>
            </w:r>
          </w:p>
        </w:tc>
        <w:tc>
          <w:tcPr>
            <w:tcW w:w="5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Cs/>
                <w:kern w:val="2"/>
                <w:sz w:val="24"/>
                <w:szCs w:val="24"/>
                <w:lang w:val="en-US" w:eastAsia="zh-CN" w:bidi="ar-SA"/>
              </w:rPr>
            </w:pPr>
            <w:r>
              <w:rPr>
                <w:rFonts w:hint="eastAsia" w:ascii="黑体" w:hAnsi="黑体" w:eastAsia="黑体" w:cs="黑体"/>
                <w:color w:val="000000"/>
                <w:sz w:val="24"/>
                <w:szCs w:val="24"/>
              </w:rPr>
              <w:t>新型农业经营主体带头人培育（</w:t>
            </w:r>
            <w:r>
              <w:rPr>
                <w:rFonts w:hint="eastAsia" w:ascii="黑体" w:hAnsi="黑体" w:eastAsia="黑体" w:cs="黑体"/>
                <w:color w:val="000000"/>
                <w:sz w:val="24"/>
                <w:szCs w:val="24"/>
                <w:lang w:val="en-US" w:eastAsia="zh-CN"/>
              </w:rPr>
              <w:t>含</w:t>
            </w:r>
            <w:r>
              <w:rPr>
                <w:rFonts w:hint="eastAsia" w:ascii="黑体" w:hAnsi="黑体" w:eastAsia="黑体" w:cs="黑体"/>
                <w:bCs/>
                <w:sz w:val="24"/>
                <w:szCs w:val="24"/>
              </w:rPr>
              <w:t>省级各类带头人示范性培训</w:t>
            </w: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rPr>
              <w:t>市级</w:t>
            </w:r>
            <w:r>
              <w:rPr>
                <w:rFonts w:hint="eastAsia" w:ascii="黑体" w:hAnsi="黑体" w:eastAsia="黑体" w:cs="黑体"/>
                <w:bCs/>
                <w:sz w:val="24"/>
                <w:szCs w:val="24"/>
              </w:rPr>
              <w:t>退役军人</w:t>
            </w:r>
            <w:r>
              <w:rPr>
                <w:rFonts w:hint="eastAsia" w:ascii="黑体" w:hAnsi="黑体" w:eastAsia="黑体" w:cs="黑体"/>
                <w:bCs/>
                <w:sz w:val="24"/>
                <w:szCs w:val="24"/>
                <w:lang w:eastAsia="zh-CN"/>
              </w:rPr>
              <w:t>、</w:t>
            </w:r>
            <w:r>
              <w:rPr>
                <w:rFonts w:hint="eastAsia" w:ascii="黑体" w:hAnsi="黑体" w:eastAsia="黑体" w:cs="黑体"/>
                <w:bCs/>
                <w:sz w:val="24"/>
                <w:szCs w:val="24"/>
              </w:rPr>
              <w:t>乡村振兴青年先锋、长三角城市优质农产品供应基地带头人创新创业等专题培训</w:t>
            </w:r>
            <w:r>
              <w:rPr>
                <w:rFonts w:hint="eastAsia" w:ascii="黑体" w:hAnsi="黑体" w:eastAsia="黑体" w:cs="黑体"/>
                <w:color w:val="000000"/>
                <w:sz w:val="24"/>
                <w:szCs w:val="24"/>
              </w:rPr>
              <w:t>）</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sz w:val="24"/>
                <w:szCs w:val="24"/>
                <w:lang w:val="en-US" w:eastAsia="zh-CN"/>
              </w:rPr>
              <w:t>骨干农机手培训（由县农业机械促进服务中心组织）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郯城街道</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restart"/>
            <w:noWrap w:val="0"/>
            <w:vAlign w:val="center"/>
          </w:tcPr>
          <w:p>
            <w:pPr>
              <w:keepNext w:val="0"/>
              <w:keepLines w:val="0"/>
              <w:pageBreakBefore w:val="0"/>
              <w:kinsoku/>
              <w:wordWrap/>
              <w:overflowPunct/>
              <w:topLinePunct w:val="0"/>
              <w:autoSpaceDE/>
              <w:autoSpaceDN/>
              <w:bidi w:val="0"/>
              <w:adjustRightInd/>
              <w:spacing w:line="6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马头镇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李庄镇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重坊镇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0</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杨集镇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庙山镇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25</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高峰头镇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港上镇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红花镇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25</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胜利镇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泉源</w:t>
            </w:r>
            <w:r>
              <w:rPr>
                <w:rFonts w:hint="eastAsia" w:ascii="仿宋_GB2312" w:hAnsi="仿宋_GB2312" w:eastAsia="仿宋_GB2312" w:cs="仿宋_GB2312"/>
                <w:sz w:val="24"/>
                <w:szCs w:val="24"/>
                <w:lang w:val="en-US" w:eastAsia="zh-CN"/>
              </w:rPr>
              <w:t>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28</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花园</w:t>
            </w:r>
            <w:r>
              <w:rPr>
                <w:rFonts w:hint="eastAsia" w:ascii="仿宋_GB2312" w:hAnsi="仿宋_GB2312" w:eastAsia="仿宋_GB2312" w:cs="仿宋_GB2312"/>
                <w:sz w:val="24"/>
                <w:szCs w:val="24"/>
                <w:lang w:val="en-US" w:eastAsia="zh-CN"/>
              </w:rPr>
              <w:t>镇</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25</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归昌乡</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24</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widowControl w:val="0"/>
              <w:tabs>
                <w:tab w:val="left" w:pos="6090"/>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新村银杏产业开发区</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0</w:t>
            </w:r>
          </w:p>
        </w:tc>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合计</w:t>
            </w:r>
          </w:p>
        </w:tc>
        <w:tc>
          <w:tcPr>
            <w:tcW w:w="5012" w:type="dxa"/>
            <w:noWrap w:val="0"/>
            <w:vAlign w:val="center"/>
          </w:tcPr>
          <w:p>
            <w:pPr>
              <w:keepNext w:val="0"/>
              <w:keepLines w:val="0"/>
              <w:pageBreakBefore w:val="0"/>
              <w:tabs>
                <w:tab w:val="left" w:pos="6090"/>
              </w:tabs>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363</w:t>
            </w:r>
          </w:p>
        </w:tc>
        <w:tc>
          <w:tcPr>
            <w:tcW w:w="2199" w:type="dxa"/>
            <w:noWrap w:val="0"/>
            <w:vAlign w:val="center"/>
          </w:tcPr>
          <w:p>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44</w:t>
            </w:r>
          </w:p>
        </w:tc>
      </w:tr>
    </w:tbl>
    <w:p>
      <w: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郯政办字〔2021〕41号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lang w:eastAsia="zh-CN"/>
        </w:rPr>
        <w:t>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确定郯城县防范和处置非法集资</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工作机制牵头部门</w:t>
      </w:r>
      <w:r>
        <w:rPr>
          <w:rFonts w:hint="eastAsia" w:ascii="方正小标宋简体" w:hAnsi="方正小标宋简体" w:eastAsia="方正小标宋简体" w:cs="方正小标宋简体"/>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sz w:val="32"/>
          <w:szCs w:val="32"/>
          <w:lang w:val="en-US" w:eastAsia="zh-CN"/>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根据《防范和处置非法集资条例》等有关规定，经县政府同意，现明确郯城县地方金融监督管理局为县防范和处置非法集资工作机制的牵头部门，依法履行《防范和处置非法集资条例》有关职责。</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tabs>
          <w:tab w:val="left" w:pos="446"/>
        </w:tabs>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（此页无正文）</w:t>
      </w:r>
    </w:p>
    <w:p>
      <w:pPr>
        <w:keepNext w:val="0"/>
        <w:keepLines w:val="0"/>
        <w:pageBreakBefore w:val="0"/>
        <w:widowControl w:val="0"/>
        <w:tabs>
          <w:tab w:val="left" w:pos="446"/>
        </w:tabs>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Times New Roman"/>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Times New Roman" w:hAnsi="Times New Roman" w:eastAsia="仿宋_GB2312" w:cs="Times New Roman"/>
          <w:sz w:val="32"/>
          <w:szCs w:val="32"/>
          <w:lang w:val="en-US" w:eastAsia="zh-CN"/>
        </w:rPr>
        <w:t>7</w:t>
      </w:r>
      <w:r>
        <w:rPr>
          <w:rFonts w:hint="eastAsia" w:ascii="仿宋_GB2312" w:hAnsi="仿宋_GB2312" w:eastAsia="仿宋_GB2312" w:cs="仿宋_GB2312"/>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p>
    <w:p>
      <w:pPr>
        <w:bidi w:val="0"/>
        <w:ind w:left="0" w:leftChars="0" w:firstLine="640" w:firstLineChars="200"/>
        <w:jc w:val="left"/>
        <w:rPr>
          <w:rFonts w:hint="default"/>
          <w:lang w:val="en-US" w:eastAsia="zh-CN"/>
        </w:rPr>
      </w:pPr>
      <w:r>
        <w:rPr>
          <w:rFonts w:hint="eastAsia" w:ascii="仿宋_GB2312" w:hAnsi="仿宋_GB2312" w:eastAsia="仿宋_GB2312" w:cs="仿宋_GB2312"/>
          <w:sz w:val="32"/>
          <w:szCs w:val="32"/>
          <w:lang w:val="en-US" w:eastAsia="zh-CN"/>
        </w:rPr>
        <w:t>（此件公开发布）</w:t>
      </w:r>
    </w:p>
    <w:p>
      <w: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郯政办字〔2021〕44号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lang w:eastAsia="zh-CN"/>
        </w:rPr>
        <w:t>办公室</w:t>
      </w:r>
    </w:p>
    <w:p>
      <w:pPr>
        <w:keepNext w:val="0"/>
        <w:keepLines w:val="0"/>
        <w:pageBreakBefore w:val="0"/>
        <w:widowControl w:val="0"/>
        <w:kinsoku/>
        <w:overflowPunct/>
        <w:topLinePunct w:val="0"/>
        <w:autoSpaceDE/>
        <w:autoSpaceDN/>
        <w:bidi w:val="0"/>
        <w:spacing w:line="600" w:lineRule="exact"/>
        <w:jc w:val="center"/>
        <w:textAlignment w:val="auto"/>
        <w:rPr>
          <w:rStyle w:val="13"/>
          <w:rFonts w:ascii="Times New Roman" w:hAnsi="Times New Roman" w:eastAsia="方正小标宋简体" w:cs="Times New Roman"/>
          <w:b w:val="0"/>
          <w:sz w:val="44"/>
          <w:szCs w:val="44"/>
        </w:rPr>
      </w:pPr>
      <w:r>
        <w:rPr>
          <w:rStyle w:val="13"/>
          <w:rFonts w:ascii="Times New Roman" w:hAnsi="Times New Roman" w:eastAsia="方正小标宋简体" w:cs="Times New Roman"/>
          <w:b w:val="0"/>
          <w:sz w:val="44"/>
          <w:szCs w:val="44"/>
        </w:rPr>
        <w:t>关于成立郯城县未成年人保护工作</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Style w:val="13"/>
          <w:rFonts w:ascii="Times New Roman" w:hAnsi="Times New Roman" w:eastAsia="方正小标宋简体" w:cs="Times New Roman"/>
          <w:b w:val="0"/>
          <w:sz w:val="44"/>
          <w:szCs w:val="44"/>
        </w:rPr>
        <w:t>领导小组</w:t>
      </w:r>
      <w:r>
        <w:rPr>
          <w:rFonts w:hint="eastAsia" w:ascii="方正小标宋简体" w:hAnsi="方正小标宋简体" w:eastAsia="方正小标宋简体" w:cs="方正小标宋简体"/>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sz w:val="32"/>
          <w:szCs w:val="32"/>
          <w:lang w:val="en-US" w:eastAsia="zh-CN"/>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为贯彻落实《中华人民共和国未成年人保护法》（以下简称《未成年人保护法</w:t>
      </w:r>
      <w:r>
        <w:rPr>
          <w:rFonts w:hint="eastAsia" w:ascii="Times New Roman" w:hAnsi="Times New Roman" w:eastAsia="仿宋_GB2312" w:cs="Times New Roman"/>
          <w:spacing w:val="-17"/>
          <w:sz w:val="32"/>
          <w:szCs w:val="32"/>
          <w:lang w:eastAsia="zh-CN"/>
        </w:rPr>
        <w:t>》）</w:t>
      </w:r>
      <w:r>
        <w:rPr>
          <w:rFonts w:ascii="Times New Roman" w:hAnsi="Times New Roman" w:eastAsia="仿宋_GB2312" w:cs="Times New Roman"/>
          <w:sz w:val="32"/>
          <w:szCs w:val="32"/>
        </w:rPr>
        <w:t>，进一步加强对未成年人保护工作的统筹、协调、督促和指导，更好地保护未成年人身心健康、保障未成年人合法权益，县政府确定成立郯城县未成年人保护工作领导小组，作为县政府议事协调机构。现将有关事项通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3"/>
          <w:rFonts w:ascii="Times New Roman" w:hAnsi="Times New Roman" w:eastAsia="黑体" w:cs="Times New Roman"/>
          <w:b w:val="0"/>
          <w:sz w:val="32"/>
          <w:szCs w:val="32"/>
        </w:rPr>
      </w:pPr>
      <w:r>
        <w:rPr>
          <w:rStyle w:val="13"/>
          <w:rFonts w:ascii="Times New Roman" w:hAnsi="Times New Roman" w:eastAsia="黑体" w:cs="Times New Roman"/>
          <w:b w:val="0"/>
          <w:sz w:val="32"/>
          <w:szCs w:val="32"/>
        </w:rPr>
        <w:t>一、主要职责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深入学习贯彻习近平总书记关于未成年人保护工作的重要指示批示精神，全面贯彻党中央、国务院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省委、省政府，市委</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市政府关于未成年人保护工作重大决策部署，认真落实县委、县政府工作要求；统筹、协调全县未成年人保护工作，研究审议未成年人保护重大事项；协调推进有关部门制定和实施未成年人保护规划、政策、措施、标准；督促检查《未成年人保护法》等相关法律法规和制度落实情况、各有关单位任务完成情况，督办侵害未成年人合法权益事件处置工作；指导各有关单位按照法定职责做好未成年人保护工作，对履职不力、造成不良影响的单位或乡镇（街道</w:t>
      </w:r>
      <w:r>
        <w:rPr>
          <w:rFonts w:hint="eastAsia" w:ascii="Times New Roman" w:hAnsi="Times New Roman" w:eastAsia="仿宋_GB2312" w:cs="Times New Roman"/>
          <w:sz w:val="32"/>
          <w:szCs w:val="32"/>
          <w:lang w:eastAsia="zh-CN"/>
        </w:rPr>
        <w:t>、开发区</w:t>
      </w:r>
      <w:r>
        <w:rPr>
          <w:rFonts w:ascii="Times New Roman" w:hAnsi="Times New Roman" w:eastAsia="仿宋_GB2312" w:cs="Times New Roman"/>
          <w:sz w:val="32"/>
          <w:szCs w:val="32"/>
        </w:rPr>
        <w:t>）强化督办问责；总结、交流、推广未成年人保护工作经验，组织开展统计调查、宣传教育和表彰奖励工作；完成县委、县政府交办的其他事项。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3"/>
          <w:rFonts w:ascii="Times New Roman" w:hAnsi="Times New Roman" w:eastAsia="黑体" w:cs="Times New Roman"/>
          <w:b w:val="0"/>
          <w:sz w:val="32"/>
          <w:szCs w:val="32"/>
        </w:rPr>
      </w:pPr>
      <w:r>
        <w:rPr>
          <w:rStyle w:val="13"/>
          <w:rFonts w:ascii="Times New Roman" w:hAnsi="Times New Roman" w:eastAsia="黑体" w:cs="Times New Roman"/>
          <w:b w:val="0"/>
          <w:sz w:val="32"/>
          <w:szCs w:val="32"/>
        </w:rPr>
        <w:t>二、组成人员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组  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王立军</w:t>
      </w:r>
      <w:r>
        <w:rPr>
          <w:rFonts w:ascii="Times New Roman" w:hAnsi="Times New Roman" w:eastAsia="仿宋_GB2312" w:cs="Times New Roman"/>
          <w:sz w:val="32"/>
          <w:szCs w:val="32"/>
        </w:rPr>
        <w:t xml:space="preserve">  县委</w:t>
      </w:r>
      <w:r>
        <w:rPr>
          <w:rFonts w:hint="eastAsia" w:ascii="Times New Roman" w:hAnsi="Times New Roman" w:eastAsia="仿宋_GB2312" w:cs="Times New Roman"/>
          <w:sz w:val="32"/>
          <w:szCs w:val="32"/>
          <w:lang w:eastAsia="zh-CN"/>
        </w:rPr>
        <w:t>副书记</w:t>
      </w:r>
      <w:r>
        <w:rPr>
          <w:rFonts w:ascii="Times New Roman" w:hAnsi="Times New Roman" w:eastAsia="仿宋_GB2312" w:cs="Times New Roman"/>
          <w:sz w:val="32"/>
          <w:szCs w:val="32"/>
        </w:rPr>
        <w:t>、县政府县长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sz w:val="32"/>
          <w:szCs w:val="32"/>
        </w:rPr>
        <w:t>副组长</w:t>
      </w:r>
      <w:r>
        <w:rPr>
          <w:rFonts w:ascii="Times New Roman" w:hAnsi="Times New Roman" w:eastAsia="仿宋_GB2312" w:cs="Times New Roman"/>
          <w:sz w:val="32"/>
          <w:szCs w:val="32"/>
        </w:rPr>
        <w:t>：王俊杰  县政府副县长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周  振  县政府副县长、县公安局局长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张金锦  县政府副县长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  鑫  县政府职能办副主任</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丁  洋  县政府办公室四级主任科员</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李</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eastAsia="zh-CN"/>
        </w:rPr>
        <w:t>昊</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县政府办公室四级主任科员</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韩铁道  县民政局局长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sz w:val="32"/>
          <w:szCs w:val="32"/>
        </w:rPr>
        <w:t>成  员</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 xml:space="preserve">刘国伟 </w:t>
      </w:r>
      <w:r>
        <w:rPr>
          <w:rFonts w:ascii="Times New Roman" w:hAnsi="Times New Roman" w:eastAsia="仿宋_GB2312" w:cs="Times New Roman"/>
          <w:sz w:val="32"/>
          <w:szCs w:val="32"/>
        </w:rPr>
        <w:t xml:space="preserve"> 县精神文明建设服务中心主任</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徐</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方</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县互联网信息安全服务中心副主任</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肖增平  县教育和体育局副局长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王亚坤  县公安局副局长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赵太园  县民政局副局长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王丽霞  县司法局党组副书记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王新光  县财政局副局长</w:t>
      </w:r>
    </w:p>
    <w:p>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吕付祥  </w:t>
      </w:r>
      <w:r>
        <w:rPr>
          <w:rFonts w:ascii="Times New Roman" w:hAnsi="Times New Roman" w:eastAsia="仿宋_GB2312" w:cs="Times New Roman"/>
          <w:w w:val="95"/>
          <w:sz w:val="32"/>
          <w:szCs w:val="32"/>
        </w:rPr>
        <w:t>县公共就业和人才服务中心副主任</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杨玉波  县卫生健康局副局长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于福宪  县市场监督管理局一级主办</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侯培奕  县法院副院长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李荣晟  县检察院副检察长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王  斌</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团县委副书记</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张  伟  县妇联副主席</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马宗峰  县残联副理事长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3"/>
          <w:rFonts w:ascii="Times New Roman" w:hAnsi="Times New Roman" w:eastAsia="黑体" w:cs="Times New Roman"/>
          <w:b w:val="0"/>
          <w:sz w:val="32"/>
          <w:szCs w:val="32"/>
        </w:rPr>
      </w:pPr>
      <w:r>
        <w:rPr>
          <w:rStyle w:val="13"/>
          <w:rFonts w:ascii="Times New Roman" w:hAnsi="Times New Roman" w:eastAsia="黑体" w:cs="Times New Roman"/>
          <w:b w:val="0"/>
          <w:sz w:val="32"/>
          <w:szCs w:val="32"/>
        </w:rPr>
        <w:t>三、其他事项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领导小组办公室设在县民政局，承担领导小组日常工作。办公室主任由县民政局局长韩铁道兼任；副主任由县互联网信息安全服务中心、县教育和体育局、县公安局、县卫生健康局、县法院、县检察院、团县委、县妇联等部门单位分管负责同志兼任。办公室成员由领导小组成员单位有关业务科室负责同志担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（二）领导小组成员因工作变动需要调整的，由所在单位向领导小组办公室提出，按程序报领导小组组长批准。办公室成员需要调整的，由所在单位提出，报领导小组办公室备案。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（三）领导小组实行工作会议制度，工作会议由组长或其委托的副组长召集，根据工作需要定期或不定期召开，参加人员为领导小组成员，必要时可邀请其他有关单位人员参加。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Times New Roman"/>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p>
    <w:p>
      <w:pPr>
        <w:pStyle w:val="4"/>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right="0"/>
        <w:jc w:val="both"/>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r>
        <w:rPr>
          <w:rFonts w:hint="eastAsia" w:ascii="仿宋_GB2312" w:hAnsi="仿宋_GB2312" w:eastAsia="仿宋_GB2312" w:cs="仿宋_GB2312"/>
          <w:color w:val="212121"/>
          <w:sz w:val="32"/>
          <w:szCs w:val="32"/>
        </w:rPr>
        <w:t>郯政办发〔2021〕5号</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600" w:lineRule="exact"/>
        <w:ind w:left="0" w:right="0" w:firstLine="640" w:firstLineChars="200"/>
        <w:jc w:val="center"/>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212121"/>
          <w:sz w:val="44"/>
          <w:szCs w:val="44"/>
        </w:rPr>
        <w:t>郯城县人民政府办公室</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color w:val="212121"/>
          <w:sz w:val="44"/>
          <w:szCs w:val="44"/>
        </w:rPr>
      </w:pPr>
      <w:r>
        <w:rPr>
          <w:rFonts w:hint="eastAsia" w:ascii="方正小标宋简体" w:hAnsi="方正小标宋简体" w:eastAsia="方正小标宋简体" w:cs="方正小标宋简体"/>
          <w:color w:val="212121"/>
          <w:sz w:val="44"/>
          <w:szCs w:val="44"/>
        </w:rPr>
        <w:t>关于印发《郯城县重点项目建设年度评价方案》的通知</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880" w:firstLineChars="200"/>
        <w:jc w:val="center"/>
        <w:textAlignment w:val="auto"/>
        <w:rPr>
          <w:rFonts w:hint="eastAsia" w:ascii="方正小标宋简体" w:hAnsi="方正小标宋简体" w:eastAsia="方正小标宋简体" w:cs="方正小标宋简体"/>
          <w:color w:val="212121"/>
          <w:sz w:val="44"/>
          <w:szCs w:val="44"/>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各乡镇人民政府、郯城街道办事处，县直有关部门、单位，郯城经济开发区管委会，新村银杏产业开发区管委会:</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《郯城县重点项目建设年度评价方案》已经县政府研究同意，现印发给你们，请抓好贯彻落实。</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color w:val="212121"/>
          <w:sz w:val="32"/>
          <w:szCs w:val="32"/>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郯城县人民政府办公室</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2021年7月22日</w:t>
      </w:r>
    </w:p>
    <w:p>
      <w:pPr>
        <w:bidi w:val="0"/>
        <w:ind w:left="0" w:leftChars="0" w:firstLine="640" w:firstLineChars="200"/>
        <w:jc w:val="left"/>
        <w:sectPr>
          <w:pgSz w:w="11906" w:h="16838"/>
          <w:pgMar w:top="1814" w:right="1587" w:bottom="1701" w:left="1587" w:header="851" w:footer="992" w:gutter="0"/>
          <w:pgNumType w:fmt="decimal"/>
          <w:cols w:space="720" w:num="1"/>
          <w:docGrid w:type="lines" w:linePitch="312" w:charSpace="0"/>
        </w:sectPr>
      </w:pPr>
      <w:r>
        <w:rPr>
          <w:rFonts w:hint="eastAsia" w:ascii="仿宋_GB2312" w:hAnsi="仿宋_GB2312" w:eastAsia="仿宋_GB2312" w:cs="仿宋_GB2312"/>
          <w:sz w:val="32"/>
          <w:szCs w:val="32"/>
          <w:lang w:val="en-US" w:eastAsia="zh-CN"/>
        </w:rPr>
        <w:t>（此件公开发布）</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color w:val="212121"/>
          <w:sz w:val="44"/>
          <w:szCs w:val="44"/>
        </w:rPr>
      </w:pPr>
      <w:r>
        <w:rPr>
          <w:rFonts w:hint="eastAsia" w:ascii="方正小标宋简体" w:hAnsi="方正小标宋简体" w:eastAsia="方正小标宋简体" w:cs="方正小标宋简体"/>
          <w:color w:val="212121"/>
          <w:sz w:val="44"/>
          <w:szCs w:val="44"/>
        </w:rPr>
        <w:t>郯城县重点项目建设年度评价方案</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color w:val="212121"/>
          <w:sz w:val="44"/>
          <w:szCs w:val="44"/>
        </w:rPr>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为实现全县经济社会发展目标和任务，进一步加快重点项目建设，充分调动各方面的积极性，确保重点项目顺利实施，制定本方案。</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12121"/>
          <w:sz w:val="32"/>
          <w:szCs w:val="32"/>
        </w:rPr>
      </w:pPr>
      <w:r>
        <w:rPr>
          <w:rFonts w:hint="eastAsia" w:ascii="黑体" w:hAnsi="黑体" w:eastAsia="黑体" w:cs="黑体"/>
          <w:color w:val="212121"/>
          <w:sz w:val="32"/>
          <w:szCs w:val="32"/>
        </w:rPr>
        <w:t>第一章 总则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第一条 重点项目评价坚持实事求是、客观公正的原则，全面准确地评价被评价对象的工作实绩。</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第二条 评价范围：县级重点项目及省、市级重点项目。</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第三条 评价对象：各乡镇、郯城街道、新村银杏产业开发区</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第四条 评价组织：重点项目建设年度评价工作由县发展改革局牵头组织。</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12121"/>
          <w:sz w:val="32"/>
          <w:szCs w:val="32"/>
        </w:rPr>
      </w:pPr>
      <w:r>
        <w:rPr>
          <w:rFonts w:hint="eastAsia" w:ascii="黑体" w:hAnsi="黑体" w:eastAsia="黑体" w:cs="黑体"/>
          <w:color w:val="212121"/>
          <w:sz w:val="32"/>
          <w:szCs w:val="32"/>
        </w:rPr>
        <w:t>第二章 评价内容及标准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第五条 评价内容：重点项目数量及开工情况；重点项目总投资；重点项目年度计划投资；重点项目年度投资计划完成情况；重点项目（含“四个一批”项目）管理综合评价情况；省、市级重点项目推进情况。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第六条 评价标准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评价内容中前五项为得分项，基本分为100分,按 “功效系数法”计算得分（各指标得分＝〔0.3×（指标值－最小值）÷（最大值－最小值）＋0.7〕×权重），第六项为加分因素，按年终实际完成情况计分，具体评价办法如下：</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（一）重点项目数量及开工情况（35分）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1.考核指标：重点项目数量</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分值：20分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计分办法：按“功效系数法”计算得分。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2.考核指标：新建项目开工率</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分值：15分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计分办法：（被评价单位新建重点项目实际新开工个数/被评价新建重点项目应开工个数）×15分计算得分；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（二）重点项目总投资（10分）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分值：10分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计分办法：按“功效系数法”计算得分。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（三）重点项目年度计划投资（10分）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分值：10分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计分办法：按“功效系数法”计算得分。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（四）重点项目年度投资计划完成情况（30分）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1.考核指标：重点项目年度投资计划完成率</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分值：15分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计分办法：该单位重点项目年度投资计划完成率×15分（重点项目年度投资计划完成率超过100%的按照100%计算）</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重点项目年度投资计划完成率=被评价单位重点项目年度实际完成投资总额/被评价单位重点项目年度计划投资总额；</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2.考核指标：年度完成投资占比得分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分值：15分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计分办法：〔被评价单位重点项目年度实际完成投资总额/全县重点项目年度实际完成投资总额〕×15分计算得分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（五）重点项目（含“四个一批”项目）管理综合评价（分值15分）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评分标准：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考核指标：制度建设情况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分值：2分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计分办法：有完善的重点项目调度、管理、信息报送制度，安排专门领导负责、有固定信息报送联络机构和联络员的，得2分；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1.考核指标：按时报送信息</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分值：4分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计分办法：按时报送项目（含“四个一批”项目）进展情况及相关资料信息得4分。未按时报送项目进展情况及相关资料信息的，每次扣0.5分，本项分值扣完为止；</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2.考核指标：信息报送准确率</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分值：4分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计分办法：项目（含“四个一批”项目）进展情况及相关资料信息报送准确，得4分。项目进展情况及相关资料信息报送与实际明显不符的，每次扣1分，本项分值扣完为止；</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3.考核指标：下一年度县重点建设项目提报情况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分值：5分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计分办法：按“功效系数法”计算得分。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（六）纳入省级(省含省重大、省优选、“双招双引”、省补短板、省重大基础设施、省集中开工项目)、市级重点项目调度（加分项目）</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评分标准：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1、加分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省级重点项目数量×5分计算加分；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市级重点项目数量×3分计算加分；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被评价单位加分后超过100分的按100分计算。</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（七）共建项目按比例计分。</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12121"/>
          <w:sz w:val="32"/>
          <w:szCs w:val="32"/>
        </w:rPr>
      </w:pPr>
      <w:r>
        <w:rPr>
          <w:rFonts w:hint="eastAsia" w:ascii="黑体" w:hAnsi="黑体" w:eastAsia="黑体" w:cs="黑体"/>
          <w:color w:val="212121"/>
          <w:sz w:val="32"/>
          <w:szCs w:val="32"/>
        </w:rPr>
        <w:t>第三章 评价依据</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第七条 按照国家有关项目建设管理法规、省、市、县每年公布的重点建设项目计划执行。被评价单位应如实提供以下资料：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（一）项目建设形象进度情况；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（二）项目建设投资完成情况；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（三）项目建设立项、用地、规划、环评、节能等相关手续办理情况；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（四）已竣工项目的竣工验收报告或其他证明材料；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（五）需要提供的其他材料。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12121"/>
          <w:sz w:val="32"/>
          <w:szCs w:val="32"/>
        </w:rPr>
      </w:pPr>
      <w:r>
        <w:rPr>
          <w:rFonts w:hint="eastAsia" w:ascii="黑体" w:hAnsi="黑体" w:eastAsia="黑体" w:cs="黑体"/>
          <w:color w:val="212121"/>
          <w:sz w:val="32"/>
          <w:szCs w:val="32"/>
        </w:rPr>
        <w:t>第四章 评价形式</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第八条 评价主要形式为月度评价和年终评价。</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（一）月度评价：各重点项目推进责任单位按要求每月20日前把省级、市级、县级及“四个一批”项目在月底前推进情况报到县发展改革局相关科室，主要评价信息报送情况；</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（二）年终评价。采取听汇报、核查账簿和现场检查相结合的方式，对各重点项目推进责任单位的重点项目推进情况进行综合考评，结合月评价，形成各单位的综合得分，并将评价结果报县督考办。</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同时，重点项目计划工作组将会同有关部门对项目进展情况、责任单位上报信息情况进行检查、核实。如发现上报信息与实际完成情况明显不符，将核减相应分值。</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黑体" w:hAnsi="黑体" w:eastAsia="黑体" w:cs="黑体"/>
          <w:color w:val="212121"/>
          <w:sz w:val="32"/>
          <w:szCs w:val="32"/>
        </w:rPr>
      </w:pPr>
      <w:r>
        <w:rPr>
          <w:rFonts w:hint="eastAsia" w:ascii="黑体" w:hAnsi="黑体" w:eastAsia="黑体" w:cs="黑体"/>
          <w:color w:val="212121"/>
          <w:sz w:val="32"/>
          <w:szCs w:val="32"/>
        </w:rPr>
        <w:t>第五章 结果运用</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第九条 对各乡镇、郯城街道、新村银杏产业开发区的评价结果，作为县对乡镇科学发展考核和年底表彰重点项目建设先进单位的依据。</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黑体" w:hAnsi="黑体" w:eastAsia="黑体" w:cs="黑体"/>
          <w:sz w:val="32"/>
          <w:szCs w:val="32"/>
        </w:rPr>
      </w:pPr>
      <w:r>
        <w:rPr>
          <w:rFonts w:hint="eastAsia" w:ascii="黑体" w:hAnsi="黑体" w:eastAsia="黑体" w:cs="黑体"/>
          <w:color w:val="212121"/>
          <w:sz w:val="32"/>
          <w:szCs w:val="32"/>
        </w:rPr>
        <w:t>第六章 附则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第十条 本方案由县发展改革局负责解释。</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12121"/>
          <w:sz w:val="32"/>
          <w:szCs w:val="32"/>
        </w:rPr>
        <w:t>第十一条</w:t>
      </w:r>
      <w:r>
        <w:rPr>
          <w:rFonts w:hint="eastAsia" w:ascii="仿宋_GB2312" w:hAnsi="仿宋_GB2312" w:eastAsia="仿宋_GB2312" w:cs="仿宋_GB2312"/>
          <w:color w:val="212121"/>
          <w:sz w:val="32"/>
          <w:szCs w:val="32"/>
          <w:lang w:val="en-US" w:eastAsia="zh-CN"/>
        </w:rPr>
        <w:t xml:space="preserve"> </w:t>
      </w:r>
      <w:r>
        <w:rPr>
          <w:rFonts w:hint="eastAsia" w:ascii="仿宋_GB2312" w:hAnsi="仿宋_GB2312" w:eastAsia="仿宋_GB2312" w:cs="仿宋_GB2312"/>
          <w:color w:val="212121"/>
          <w:sz w:val="32"/>
          <w:szCs w:val="32"/>
        </w:rPr>
        <w:t>本方案自公布之日起施行。</w:t>
      </w:r>
    </w:p>
    <w:p>
      <w:pPr>
        <w:rPr>
          <w:rFonts w:ascii="Times New Roman" w:hAnsi="Times New Roman" w:eastAsia="方正小标宋简体" w:cs="Times New Roman"/>
          <w:sz w:val="44"/>
          <w:szCs w:val="44"/>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pacing w:line="560" w:lineRule="exact"/>
        <w:jc w:val="center"/>
        <w:rPr>
          <w:rFonts w:hint="eastAsia" w:ascii="仿宋_GB2312" w:hAnsi="仿宋_GB2312" w:eastAsia="仿宋_GB2312" w:cs="仿宋_GB2312"/>
          <w:sz w:val="44"/>
          <w:szCs w:val="44"/>
        </w:rPr>
      </w:pPr>
      <w:r>
        <w:rPr>
          <w:rFonts w:hint="eastAsia" w:ascii="仿宋_GB2312" w:hAnsi="仿宋_GB2312" w:eastAsia="仿宋_GB2312" w:cs="仿宋_GB2312"/>
          <w:sz w:val="32"/>
          <w:szCs w:val="32"/>
        </w:rPr>
        <w:t>郯政办字〔2021〕</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pacing w:line="600" w:lineRule="exact"/>
        <w:jc w:val="both"/>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郯城县人民政府办公室</w:t>
      </w:r>
    </w:p>
    <w:p>
      <w:pPr>
        <w:keepNext w:val="0"/>
        <w:keepLines w:val="0"/>
        <w:pageBreakBefore w:val="0"/>
        <w:widowControl w:val="0"/>
        <w:kinsoku/>
        <w:wordWrap/>
        <w:overflowPunct/>
        <w:topLinePunct w:val="0"/>
        <w:autoSpaceDE/>
        <w:autoSpaceDN/>
        <w:bidi w:val="0"/>
        <w:adjustRightInd/>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关于印发郯城县省级慢性病综合防控示范区建设复审方案的通知</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center"/>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sz w:val="32"/>
          <w:szCs w:val="32"/>
          <w:lang w:val="en-US" w:eastAsia="zh-CN"/>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pacing w:line="600" w:lineRule="exact"/>
        <w:ind w:firstLine="645"/>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《郯城县省级慢性病综合防控示范区建设复审方案》已经县政府研究同意，现印发给你们，请结合实际，认真贯彻执行。</w:t>
      </w:r>
    </w:p>
    <w:p>
      <w:pPr>
        <w:keepNext w:val="0"/>
        <w:keepLines w:val="0"/>
        <w:pageBreakBefore w:val="0"/>
        <w:widowControl w:val="0"/>
        <w:kinsoku/>
        <w:wordWrap/>
        <w:overflowPunct/>
        <w:topLinePunct w:val="0"/>
        <w:autoSpaceDE/>
        <w:autoSpaceDN/>
        <w:bidi w:val="0"/>
        <w:adjustRightInd/>
        <w:spacing w:line="600" w:lineRule="exact"/>
        <w:ind w:firstLine="645"/>
        <w:textAlignment w:val="baseline"/>
        <w:rPr>
          <w:rFonts w:hint="eastAsia"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pacing w:line="600" w:lineRule="exact"/>
        <w:textAlignment w:val="baseline"/>
        <w:rPr>
          <w:rFonts w:hint="eastAsia"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5120" w:firstLineChars="1600"/>
        <w:jc w:val="righ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郯城县人民政府办公室</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baseline"/>
        <w:rPr>
          <w:rFonts w:hint="eastAsia" w:ascii="仿宋_GB2312" w:hAnsi="仿宋_GB2312" w:eastAsia="仿宋_GB2312" w:cs="仿宋_GB2312"/>
          <w:sz w:val="44"/>
          <w:szCs w:val="44"/>
        </w:rPr>
      </w:pPr>
      <w:r>
        <w:rPr>
          <w:rFonts w:hint="eastAsia" w:ascii="仿宋_GB2312" w:hAnsi="仿宋_GB2312" w:eastAsia="仿宋_GB2312" w:cs="仿宋_GB2312"/>
          <w:color w:val="000000"/>
          <w:kern w:val="0"/>
          <w:sz w:val="32"/>
          <w:szCs w:val="32"/>
        </w:rPr>
        <w:t xml:space="preserve">                                     2021年7月</w:t>
      </w:r>
      <w:r>
        <w:rPr>
          <w:rFonts w:hint="eastAsia" w:ascii="仿宋_GB2312" w:hAnsi="仿宋_GB2312" w:eastAsia="仿宋_GB2312" w:cs="仿宋_GB2312"/>
          <w:color w:val="000000"/>
          <w:kern w:val="0"/>
          <w:sz w:val="32"/>
          <w:szCs w:val="32"/>
          <w:lang w:val="en-US" w:eastAsia="zh-CN"/>
        </w:rPr>
        <w:t>26</w:t>
      </w:r>
      <w:r>
        <w:rPr>
          <w:rFonts w:hint="eastAsia" w:ascii="仿宋_GB2312" w:hAnsi="仿宋_GB2312" w:eastAsia="仿宋_GB2312" w:cs="仿宋_GB2312"/>
          <w:color w:val="000000"/>
          <w:kern w:val="0"/>
          <w:sz w:val="32"/>
          <w:szCs w:val="32"/>
        </w:rPr>
        <w:t>日</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left"/>
        <w:rPr>
          <w:rFonts w:hint="eastAsia" w:ascii="仿宋_GB2312" w:hAnsi="仿宋_GB2312" w:eastAsia="仿宋_GB2312" w:cs="仿宋_GB2312"/>
          <w:sz w:val="44"/>
          <w:szCs w:val="44"/>
        </w:rPr>
      </w:pPr>
      <w:r>
        <w:rPr>
          <w:rFonts w:hint="eastAsia" w:ascii="仿宋_GB2312" w:hAnsi="仿宋_GB2312" w:eastAsia="仿宋_GB2312" w:cs="仿宋_GB2312"/>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郯城县省级慢性病综合防控示范区建设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复审方案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为巩固我县省级慢性非传染性疾病（以下简称“慢性病”）综合防控示范区建设成果，倡导健康文明的生活方式，最大限度地消除慢性病危险因素，进一步完善慢性病综合防控工作长效机制，提高全县人民群众的健康水平，根据《“健康中国2030”规划纲要》、《中国防治慢性病中长期规划（2017—2025年）》、《“健康山东2030”规划纲要》</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山东省防治慢性病中长期规划（2017—2025年）》等工作要求，针对新修订的《山东省慢性病综合防控示范区建设管理办法（2019年版）》，按照《郯城县省级慢性非传染性疾病综合防控示范区实施方案》，结合全县实际，制定本复审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一、背景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慢性病主要包括心脑血管疾病、癌症、糖尿病、慢性呼吸系统疾病等，是一组发病率、致残率和死亡率高，严重耗费社会资源，威胁居民健康和生命质量的疾病，也是可预防、可控制的疾病。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随着工业化、城镇化、人口老龄化进程不断加快，慢性病已成为我县居民的主要死亡原因，高血压、糖尿病、血脂异常等重要慢性病患病率呈上升趋势，吸烟、过量饮酒、身体活动不足和不健康饮食等慢性病行为危险因素呈高水平流行，慢性病导致的疾病负担不断加重。我县自2017年底成功创建省级慢性病综合防控示范区（以下简称“慢病示范区”）以来，坚持突出基层、完善保障措施，不断健全政府主导、部门合作、全民参与的慢性病防控机制；以高血压、糖尿病综合防治为切入点，实现了对高血压等慢性病患者的科学指导、有效治疗、长期管理，取得了良好的成效；积极开展全民健康生活方式行动，倡导居民合理膳食、戒烟限酒、适量运动、心理平衡，并积极推进包括健康评估，控烟、控酒、减盐、减油、减糖、健康心理、健康体重、健康口腔、健康骨骼等内容的“一评二控三减四健”专项行动，提高了居民的健康意识，增强了居民维护和促进自身健康的能力；有效控制了心脑血管疾病、糖尿病等主要慢性病的危害及其危险因素水平；完善疾病监测网络，全面开展人群重点慢性病发病及死亡水平监测，死因、肿瘤和心脑血管疾病监测数据质量不断提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二、工作目标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坚持以人民健康为中心，强化政府主体责任，创新慢性病防控机制，推动落实保障性和支持性政策，创建和维护健康的社会环境，培育适合不同地区特点的慢性病综合防控模式，教育和引导群众养成健康的生活方式，提高人民群众健康水平，推进健康郯城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hint="eastAsia" w:ascii="楷体_GB2312" w:hAnsi="楷体_GB2312" w:eastAsia="楷体_GB2312" w:cs="楷体_GB2312"/>
          <w:kern w:val="0"/>
          <w:sz w:val="32"/>
          <w:szCs w:val="32"/>
        </w:rPr>
        <w:t>（一）健康细胞工程。</w:t>
      </w:r>
      <w:r>
        <w:rPr>
          <w:rFonts w:ascii="Times New Roman" w:hAnsi="Times New Roman" w:eastAsia="仿宋_GB2312" w:cs="Times New Roman"/>
          <w:kern w:val="0"/>
          <w:sz w:val="32"/>
          <w:szCs w:val="32"/>
        </w:rPr>
        <w:t>开展健康家庭活动的社区（村）占辖区社区（村）总数的比例达到40%以上，以后逐年递增3%，每个社区至少评选10个及以上健康家庭；健康社区（村）、企业、机关（单位）、医院、学校、餐厅（食堂）、市场（超市、商场）占同类单位总数的比例达到30%以上，以后占同类单位总数的比例每年递增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（二）健康环境建设。</w:t>
      </w:r>
      <w:r>
        <w:rPr>
          <w:rFonts w:ascii="Times New Roman" w:hAnsi="Times New Roman" w:eastAsia="仿宋_GB2312" w:cs="Times New Roman"/>
          <w:kern w:val="0"/>
          <w:sz w:val="32"/>
          <w:szCs w:val="32"/>
        </w:rPr>
        <w:t>健康主题广场（公园）、步道（健康街道）等每类建设数量达到3个，以后逐年有增加。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（三）开展“一评二控三减四健”专项行动。</w:t>
      </w:r>
      <w:r>
        <w:rPr>
          <w:rFonts w:ascii="Times New Roman" w:hAnsi="Times New Roman" w:eastAsia="仿宋_GB2312" w:cs="Times New Roman"/>
          <w:kern w:val="0"/>
          <w:sz w:val="32"/>
          <w:szCs w:val="32"/>
        </w:rPr>
        <w:t>开展健康评估、控烟、控酒、减盐、减油、减糖、健康口腔、健康体重、健康骨骼、健康心理。食盐与食用油的摄入量每5年下降10%或低于全省平均水平（食盐与食用油的摄入量分别为10.1克、36.6克）10%以上，2021年较2017年（食盐与食用油的摄入量分别为10.98克、39.38克）下降10%，分别控制在9.88g、32.94g以内，至2025年控制在8.89g、29.65g以内；15岁以上成人吸烟率每5年下降10%，2021年较2017年（35.11%）降低20.25 %，控制在28%以内，至2025年控制在22%以内；中、小学生每天锻炼1小时的比例达到100%，经常参加体育锻炼人口比例达40%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（四）自助式健康检测。</w:t>
      </w:r>
      <w:r>
        <w:rPr>
          <w:rFonts w:ascii="Times New Roman" w:hAnsi="Times New Roman" w:eastAsia="仿宋_GB2312" w:cs="Times New Roman"/>
          <w:kern w:val="0"/>
          <w:sz w:val="32"/>
          <w:szCs w:val="32"/>
        </w:rPr>
        <w:t>设立自助式健康检测点的社区（不含设在医疗卫生机构内的）覆盖率不低于40%，以后逐年增加5%。社区卫生服务中心和乡镇卫生院设置健康检测点的机构覆盖率达到100%，提供个性化健康指导的机构比例达50%以上。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（五）全民健身运动。</w:t>
      </w:r>
      <w:r>
        <w:rPr>
          <w:rFonts w:ascii="Times New Roman" w:hAnsi="Times New Roman" w:eastAsia="仿宋_GB2312" w:cs="Times New Roman"/>
          <w:kern w:val="0"/>
          <w:sz w:val="32"/>
          <w:szCs w:val="32"/>
        </w:rPr>
        <w:t>社区15分钟健身圈的覆盖率达90%以上，设备完好，人均体育场地面积达2平米；公共体育场地、设施免费或低收费开放比例100%；机关、企事业单位开展工间（前）健身活动的单位覆盖率不低于80%，每年机关、企事业单位组织开展至少1次健身竞赛活动。每年至少开展1次政府支持、多部门组织、企事业单位承担参与并积极支持的集体性健身活动。辖区内成立1个以上群众健身团队的社区（村）的比例达到60%以上，社会体育指导员数量占总人口的2.3‰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（六）烟草控制行动。</w:t>
      </w:r>
      <w:r>
        <w:rPr>
          <w:rFonts w:ascii="Times New Roman" w:hAnsi="Times New Roman" w:eastAsia="仿宋_GB2312" w:cs="Times New Roman"/>
          <w:kern w:val="0"/>
          <w:sz w:val="32"/>
          <w:szCs w:val="32"/>
        </w:rPr>
        <w:t>建设无烟党政机关、无烟医疗卫生机构、无烟学校，覆盖率均达100%。辖区内无烟草广告，100%的室内公共场所和工作场所设置禁止吸烟警语和标识；开展简短戒烟服务培训的医疗机构（包括辖区驻地的一、二、三级医疗机构和妇幼保健院）覆盖率达80%以上，提供简短戒烟服务的二级及以上医疗机构覆盖率达100%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（七）少儿健康促进。</w:t>
      </w:r>
      <w:r>
        <w:rPr>
          <w:rFonts w:ascii="Times New Roman" w:hAnsi="Times New Roman" w:eastAsia="仿宋_GB2312" w:cs="Times New Roman"/>
          <w:kern w:val="0"/>
          <w:sz w:val="32"/>
          <w:szCs w:val="32"/>
        </w:rPr>
        <w:t>幼儿园、中小学校开设健康教育课覆盖率达100%，每学期以班级为单位，课程≥6学时。辖区内实施儿童窝沟封闭的学校比例不低于60%，辖区12岁儿童患龋率低于25%。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（八）健康素养水平。</w:t>
      </w:r>
      <w:r>
        <w:rPr>
          <w:rFonts w:ascii="Times New Roman" w:hAnsi="Times New Roman" w:eastAsia="仿宋_GB2312" w:cs="Times New Roman"/>
          <w:kern w:val="0"/>
          <w:sz w:val="32"/>
          <w:szCs w:val="32"/>
        </w:rPr>
        <w:t>居民重点慢性病核心知识知晓率不低于60%，居民健康素养水平达到20%或高于全省平均水平。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（九）体系整合。</w:t>
      </w:r>
      <w:r>
        <w:rPr>
          <w:rFonts w:ascii="Times New Roman" w:hAnsi="Times New Roman" w:eastAsia="仿宋_GB2312" w:cs="Times New Roman"/>
          <w:kern w:val="0"/>
          <w:sz w:val="32"/>
          <w:szCs w:val="32"/>
        </w:rPr>
        <w:t>二级以上医院每年组织对辖区基层医疗机构的慢性病专业培训不少于2次，且基层慢性病防治人员培训率达90%以上，基层医疗机构每年组织对村医或社区卫生服务站医护人员的培训不少于2次且培训率达到90%以上。设有中医综合服务区的社区卫生服务中心、乡镇卫生院比例达100%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（十）高危人群干预。</w:t>
      </w:r>
      <w:r>
        <w:rPr>
          <w:rFonts w:ascii="Times New Roman" w:hAnsi="Times New Roman" w:eastAsia="仿宋_GB2312" w:cs="Times New Roman"/>
          <w:kern w:val="0"/>
          <w:sz w:val="32"/>
          <w:szCs w:val="32"/>
        </w:rPr>
        <w:t>学生健康体检率不低于90%，65岁及以上老年人健康体检率不低于90%，每2年1次体检并开展健康指导的机关事业单位和员工数超过50人的企业的覆盖率不低于50%。各级医疗机构18岁以上就诊者首诊测血压率不低于90%；开展心脑血管疾病、重点癌症、糖尿病、慢性阻塞性肺病等重大慢性病的筛查和早期诊断；具备血糖、血脂、简易肺功能测定和大便隐血检测等4种技术并提供服务的社区卫生服务中心和乡镇卫生院的覆盖率不低于50%；提高加强个人健康档案与健康体检信息的利用，血压偏高、糖尿病前期和血脂异常等高危人群登记率不低于100%，高危人群纳入健康管理率不低于30%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（十一）重点慢性病规范化管理。</w:t>
      </w:r>
      <w:r>
        <w:rPr>
          <w:rFonts w:ascii="Times New Roman" w:hAnsi="Times New Roman" w:eastAsia="仿宋_GB2312" w:cs="Times New Roman"/>
          <w:kern w:val="0"/>
          <w:sz w:val="32"/>
          <w:szCs w:val="32"/>
        </w:rPr>
        <w:t>家庭医生签约服务覆盖率高于本省平均覆盖率（30%）的30%，即覆盖率应高于39%。18岁以上高血压知晓率不低于60%，18岁以上糖尿病知晓率不低于50%。35岁以上高血压患者规范管理率高于全省平均水平（60%）的5%，即63%；35岁以上糖尿病患者规范管理率高于全省平均水平（60%）的5%，即63%；高血压患者血压控制率高于全省平均水平（47.1%）的5%，即49.46%；糖尿病患者血糖控制率高于全省平均水平（37.9%）的5%，即39.80%，有慢性病患者自我健康管理小组的村居（社区）覆盖率达到50%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（十二）医养结合。</w:t>
      </w:r>
      <w:r>
        <w:rPr>
          <w:rFonts w:ascii="Times New Roman" w:hAnsi="Times New Roman" w:eastAsia="仿宋_GB2312" w:cs="Times New Roman"/>
          <w:kern w:val="0"/>
          <w:sz w:val="32"/>
          <w:szCs w:val="32"/>
        </w:rPr>
        <w:t>医疗机构向居家养老、社区养老与机构养老的老年人提供医养结合的健康养老服务覆盖比例不低于80%。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（十三）监测评估。</w:t>
      </w:r>
      <w:r>
        <w:rPr>
          <w:rFonts w:ascii="Times New Roman" w:hAnsi="Times New Roman" w:eastAsia="仿宋_GB2312" w:cs="Times New Roman"/>
          <w:kern w:val="0"/>
          <w:sz w:val="32"/>
          <w:szCs w:val="32"/>
        </w:rPr>
        <w:t>全人群的死因监测、慢性病与营养监测、心脑血管疾病、肿瘤等重大慢性病登记报告达到基本技术指标，向政府及有关部门提交监测报告。利用慢性病监测信息管理系统，实现重点慢性病监测数据互联互通。辖区每5年开展一次慢性病防控社会因素调查，辖区政府每5年发布含慢性病防控内容的综合健康报告，综合健康报告主要结果用于政府工作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三、工作内容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健全完善政府主导的慢性病综合防控协调机制，制定实施慢性病综合防控相关政策与制度，将慢性病融入社会发展规划、融入各项公共政策、融入百姓生活，多部门协同配合，统筹各方资源，加大政策保障，在政策制定、组织管理、队伍建设、经费支持等方面给予充分保障，在环境治理、烟草控制、膳食营养、健身场所设施建设等慢性病危险因素控制方面采取有效行动。健全完善健康教育体系，广泛宣传“一评二控三减四健”等健康科普知识，教育引导群众树立正确健康观。树立“每个人都是自己健康第一责任人”理念，促进群众自觉形成健康的行为和生活方式，构建自我为主、人际互助、社会支持、政府指导的健康管理模式。多途径进行慢性病高危人群的筛查和发现，规范高血压、糖尿病等慢性病患者管理，提高慢性病综合监测水平，降低慢性病发病率和死亡率，提高生存率，改善居民生命质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（一）健全慢性病综合防控工作领导体系，明确各部门职责。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进一步调整充实由县政府主要领导任组长，卫健、财政、教体、市场监管等部门负责人为成员的郯城县慢性病综合防控示范区建设工作领导小组，领导小组下设办公室，主要负责制定、调整示范区建设实施方案，明确各部门职责，工作规划与计划制定、组织实施、协调管理、督导检查和考核评估，每年至少召开1次领导小组会议。领导小组各成员部门设工作联络员，根据实际工作需要召开联络员会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（二）制定慢性病综合防控相关公共卫生政策，开展人群慢性病危险因素控制。</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1.强化政府主导。</w:t>
      </w:r>
      <w:r>
        <w:rPr>
          <w:rFonts w:ascii="Times New Roman" w:hAnsi="Times New Roman" w:eastAsia="仿宋_GB2312" w:cs="Times New Roman"/>
          <w:kern w:val="0"/>
          <w:sz w:val="32"/>
          <w:szCs w:val="32"/>
        </w:rPr>
        <w:t>将慢性病防控工作纳入全县经济社会发展规划，将慢性病防控工作经费纳入政府预算、决算管理，慢性病防控工作经费占疾控中心业务总经费的比例在10%以上。辖区政府提供慢病示范区建设工作专项经费，经费专项管理、专款专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2.加强部门协作。</w:t>
      </w:r>
      <w:r>
        <w:rPr>
          <w:rFonts w:ascii="Times New Roman" w:hAnsi="Times New Roman" w:eastAsia="仿宋_GB2312" w:cs="Times New Roman"/>
          <w:kern w:val="0"/>
          <w:sz w:val="32"/>
          <w:szCs w:val="32"/>
        </w:rPr>
        <w:t>将慢病示范区建设工作列入各相关部门年度岗位责任制目标考核管理，定期开展效果评价评估；各部门将慢性病防控融入部门政策规章制度，制定并落实烟草控制、降低有害饮酒、减盐、控油、控制体重、全民健身等慢性病危险因素干预、疾病管理相关政策规章制度。示范区建设领导小组建立协作联动、绩效管理和联络员会议、工作督导制度，定期交流信息，掌握工作进展，研究解决问题，每年组织2次多部门参与的联合调研或督导，强化慢性病综合防控工作效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3.动员全社会参与。</w:t>
      </w:r>
      <w:r>
        <w:rPr>
          <w:rFonts w:ascii="Times New Roman" w:hAnsi="Times New Roman" w:eastAsia="仿宋_GB2312" w:cs="Times New Roman"/>
          <w:kern w:val="0"/>
          <w:sz w:val="32"/>
          <w:szCs w:val="32"/>
        </w:rPr>
        <w:t>有效引进社会资本参与慢性病防控，鼓励商业健康保险参与医疗救助，通过向社会力量购买服务的方式，为慢性病患者提供健康管理服务。政府引导、市场驱动，动员社会力量参与慢性病防控工作，促进慢性病全程防治管理服务与居家养老、社区养老和机构养老服务融合，医疗机构向居家养老、社区养老与机构养老的老年人提供医养结合的健康养老服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4.优先配备使用基本药物。</w:t>
      </w:r>
      <w:r>
        <w:rPr>
          <w:rFonts w:ascii="Times New Roman" w:hAnsi="Times New Roman" w:eastAsia="仿宋_GB2312" w:cs="Times New Roman"/>
          <w:kern w:val="0"/>
          <w:sz w:val="32"/>
          <w:szCs w:val="32"/>
        </w:rPr>
        <w:t>基层医疗卫生机构配备国家或省相关指南、推荐方案建议的高血压、糖尿病等重点慢性病治疗药品，优先使用基本药物。全部配备国家或省相关指南方案推荐药品种类的基层医疗卫生机构比例达到80%以上，实施高血压、糖尿病治疗基本药物全额保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5.少年儿童健康促进。</w:t>
      </w:r>
      <w:r>
        <w:rPr>
          <w:rFonts w:ascii="Times New Roman" w:hAnsi="Times New Roman" w:eastAsia="仿宋_GB2312" w:cs="Times New Roman"/>
          <w:kern w:val="0"/>
          <w:sz w:val="32"/>
          <w:szCs w:val="32"/>
        </w:rPr>
        <w:t>教育部门牵头，贯彻零级预防理念，落实阳光体育运动，合理设置健康教育课程；全面加强托幼机构及中小学健康知识和行为方式教育，健康教育课包括营养均衡、口腔保健、健康体重、视力保护等内容，每学期以班级为单位，课程不少于6学时；继续开展健康学校创建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6.建设健康餐饮环境。</w:t>
      </w:r>
      <w:r>
        <w:rPr>
          <w:rFonts w:ascii="Times New Roman" w:hAnsi="Times New Roman" w:eastAsia="仿宋_GB2312" w:cs="Times New Roman"/>
          <w:kern w:val="0"/>
          <w:sz w:val="32"/>
          <w:szCs w:val="32"/>
        </w:rPr>
        <w:t>市场监督管理部门负责对食品生产加工流通企业、餐饮行业及从业人员定期进行减盐、减油等健康膳食知识与技能培训（每年至少1次）；鼓励和支持食品企业研发、生产和销售减盐、减糖等健康食品；继续开展健康食堂、餐厅/酒店创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7.食品销售场所。</w:t>
      </w:r>
      <w:r>
        <w:rPr>
          <w:rFonts w:ascii="Times New Roman" w:hAnsi="Times New Roman" w:eastAsia="仿宋_GB2312" w:cs="Times New Roman"/>
          <w:kern w:val="0"/>
          <w:sz w:val="32"/>
          <w:szCs w:val="32"/>
        </w:rPr>
        <w:t>商务部门负责引导市场（超市、商场）设立低盐食品专柜，创建健康市场（超市、商场）。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8.提升健身场所建设。</w:t>
      </w:r>
      <w:r>
        <w:rPr>
          <w:rFonts w:ascii="Times New Roman" w:hAnsi="Times New Roman" w:eastAsia="仿宋_GB2312" w:cs="Times New Roman"/>
          <w:kern w:val="0"/>
          <w:sz w:val="32"/>
          <w:szCs w:val="32"/>
        </w:rPr>
        <w:t>将健身场所纳入城市建设规划，社区15分钟健身圈覆盖率达90％以上，居民健身设备完好，人均体育场地面积达2平米；体育、园林等部门开展健康主题公园、步道等健康支持性环境建设。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9.开展全民健身运动。</w:t>
      </w:r>
      <w:r>
        <w:rPr>
          <w:rFonts w:ascii="Times New Roman" w:hAnsi="Times New Roman" w:eastAsia="仿宋_GB2312" w:cs="Times New Roman"/>
          <w:kern w:val="0"/>
          <w:sz w:val="32"/>
          <w:szCs w:val="32"/>
        </w:rPr>
        <w:t>工会、妇联、共青团、文广新局、教育、体育、卫健等部门要紧密配合，实施青少年体育促进计划，组织开展群众体育健身活动，提高经常参加体育锻炼人口比例；机关、企事业单位建立职工工间操制度，开展工间（前）健身活动，组织符合单位特点的健身和竞赛活动；社区（村）成立1个及以上的群众健身团队，配有体育指导员和志愿者；每年至少开展1次政府支持、多部门组织的集体性健身活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10.降低人群吸烟率。</w:t>
      </w:r>
      <w:r>
        <w:rPr>
          <w:rFonts w:ascii="Times New Roman" w:hAnsi="Times New Roman" w:eastAsia="仿宋_GB2312" w:cs="Times New Roman"/>
          <w:kern w:val="0"/>
          <w:sz w:val="32"/>
          <w:szCs w:val="32"/>
        </w:rPr>
        <w:t>开展烟草控制，全面禁止烟草广告，室内公共场所、工作场所和公共交通工具设置禁止吸烟警语和标识；开展无烟党政机关、无烟医疗机构、无烟学校创建工作，覆盖率达100％；辖区各级医疗机构开展简短戒烟服务培训，二级及以上医疗机构提供简短戒烟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（三）推进全民健康生活方式行动，广泛开展全人群健康促进活动。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1.建立媒体定期宣传制度。</w:t>
      </w:r>
      <w:r>
        <w:rPr>
          <w:rFonts w:ascii="Times New Roman" w:hAnsi="Times New Roman" w:eastAsia="仿宋_GB2312" w:cs="Times New Roman"/>
          <w:kern w:val="0"/>
          <w:sz w:val="32"/>
          <w:szCs w:val="32"/>
        </w:rPr>
        <w:t>利用社会主流媒体和互联网等新媒体广泛开展慢性病防治和健康教育知识宣传；在社区建设健康教育宣传阵地，向居民普及慢性病防控的知识与技能，同时加强公共卫生健康信息和公益广告宣传。</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深入开展全民健康生活方式行动。</w:t>
      </w:r>
      <w:r>
        <w:rPr>
          <w:rFonts w:ascii="Times New Roman" w:hAnsi="Times New Roman" w:eastAsia="仿宋_GB2312" w:cs="Times New Roman"/>
          <w:sz w:val="32"/>
          <w:szCs w:val="32"/>
        </w:rPr>
        <w:t>围绕控制烟草消费、推动合理膳食、促进健身活动三个重点，推进健康机关（单位）、社区（村）、家庭创建，开展“一评二控三减四健”（健康评估、控烟、控酒、减盐、减油、减糖、健康口腔、健康体重、健康骨骼、健康心理）专项行动，创造可持续发展的健康支持性环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推广健康自我管理。</w:t>
      </w:r>
      <w:r>
        <w:rPr>
          <w:rFonts w:ascii="Times New Roman" w:hAnsi="Times New Roman" w:eastAsia="仿宋_GB2312" w:cs="Times New Roman"/>
          <w:sz w:val="32"/>
          <w:szCs w:val="32"/>
        </w:rPr>
        <w:t>建立自我为主、人际互助、社会支持、政府指导的健康管理模式。发挥群众组织在健康教育与健康促进、健康管理和健康服务等方面的积极作用，以增强群众自我保健意识为切入点，培育体育指导员和志愿者，开展社区慢性病自我健康管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开展社会性大型健康日活动。</w:t>
      </w:r>
      <w:r>
        <w:rPr>
          <w:rFonts w:ascii="Times New Roman" w:hAnsi="Times New Roman" w:eastAsia="仿宋_GB2312" w:cs="Times New Roman"/>
          <w:sz w:val="32"/>
          <w:szCs w:val="32"/>
        </w:rPr>
        <w:t>结合世界无烟日、肿瘤宣传周、全国高血压日、世界糖尿病日、全民健康生活方式日、全国爱牙日、世界脑卒中日、世界骨质疏松日等重大宣传日，开展大型社会性宣传活动，扩大传播慢性病防治、健康素养知识和技能的范围，每年至少开展4次健康主题日大型宣传活动，每次活动参与人数不少于300人（含分会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深入开展健康支持性环境建设。</w:t>
      </w:r>
      <w:r>
        <w:rPr>
          <w:rFonts w:ascii="Times New Roman" w:hAnsi="Times New Roman" w:eastAsia="仿宋_GB2312" w:cs="Times New Roman"/>
          <w:sz w:val="32"/>
          <w:szCs w:val="32"/>
        </w:rPr>
        <w:t>按照《卫生部办公厅关于印发全民健康生活方式行动示范创建工作指导方案(试行)的通知》(卫办疾控函〔2009〕825号)、《全民健康生活方式行动国家行动办公室关于印发&lt;全民健康生活方式行动健康支持性环境建设指导方案&gt;的通知》（中疾控社发〔2019〕96号）、《关于印发健康山东·全民健康生活方式行动示范创建工作实施方案（试行）的通知》（鲁爱卫办字〔2011〕24号）、《关于开展健康家庭行动的通知》（鲁卫疾控社发〔2013〕5号）等文件及相关工作要求，结合全县实际，积极开展健康家庭、社区（村）、企业、机关（单位）、医院、学校、餐厅（食堂）、市场（超市、商场），以及健康主题广场（公园）、步道（健康街道）等健康支持性环境建设，带动全民健康生活方式行动全面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（四）开展慢性病高危人群筛查和干预，加强重大慢性病的早期发现和管理。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通过多种途径发现慢性病高危个体，建立完善高危人群管理档案，实施健康管理和强化生活方式干预，提升高危人群对慢性病的认知水平，降低个体慢性病危险水平，防止和延缓慢性病的发生。</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高危人群发现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（1）在全县所有医疗机构建立18岁以上病人首诊测血压制度，并将此项工作纳入对各级医疗卫生单位的日常考核，确保18岁以上人群首诊测血压率不低于90％，提高18岁以上人群高血压、糖尿病知晓率。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（2）医疗机构开展肥胖与超重人群筛查，为有需要的居民提供维持健康体重的个性化健康指导，开展比例超过85%。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加强个人健康档案与健康体检信息的利用，积极发现高血压、糖尿病等慢性病高危人群，对血压偏高、糖尿病前期和血脂异常等高危人群要全部登记，同时鼓励各类单位定期为职工提供体检，及早发现慢性病高危人群和患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（4）社区卫生服务中心和</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镇卫生院具备开展血糖血脂检测、简易肺功能测定和大便隐血检测的能力并提供服务，覆盖率应大于50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（5）加强健康体检规范化管理，健全学生健康体检制度，推广老年人健康体检，二级以上综合医疗机构和专科医院开展脑卒中、冠心病和恶性肿瘤的机会性筛查。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2.开展高危人群的干预和管理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基层医疗机构对发现的慢性病高危个体，建立管理档案，并通过了解其生活行为状况包括吸烟、饮酒、膳食和身体活动等对其危险因素暴露水平进行评估。根据评估结果和服务人群的个人意愿，选择适宜的干预手段对高危个体进行健康指导，每年至少完成2次随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（2）加强健康教育，提高高危人群对慢性病防治知识认知程度，增强自我保健意识，培养自测血压、血糖、体重和腰围等自我管理和定期监测技能。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（3）中西医并重，发挥中医药在慢性病预防、保健、诊疗、康复中的作用。各社区卫生服务中心、各乡镇卫生院要有中医综合服务区，开展中医药养生保健知识的宣传及中医适宜技术推广。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（4）加强癌症、心脑血管疾病等重大慢性病的早期发现和管理，开展心脑血管疾病、重点癌症、糖尿病、慢性阻塞性肺病等重大慢性病的筛查和早期诊断。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（5）开展个性化健康干预。依托医疗机构，开设戒烟门诊、戒烟咨询热线，二级及以上医疗机构提供简短戒烟服务，提高戒烟干预能力。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（五）规范慢性病患者全程管理，加强重大慢性病的早期发现与管理。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ascii="Times New Roman" w:hAnsi="Times New Roman" w:eastAsia="仿宋_GB2312" w:cs="Times New Roman"/>
          <w:sz w:val="32"/>
          <w:szCs w:val="32"/>
        </w:rPr>
        <w:t>根据国家基本公共卫生服务项目的要求，基层医疗机构要按照《中国高血压防治指南》、《中国糖尿病防治指南》等规范文件，开展高血压、糖尿病患者筛查，建立管理档案，实现随访电子化。每年对患者开展4次随访，至少进行1次较全面的健康体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ascii="Times New Roman" w:hAnsi="Times New Roman" w:eastAsia="仿宋_GB2312" w:cs="Times New Roman"/>
          <w:sz w:val="32"/>
          <w:szCs w:val="32"/>
        </w:rPr>
        <w:t>提高35岁以上人群高血压、糖尿病患者规范管理率，35岁以上高血压患者和糖尿病患者规范管理率高于全省平均水平5%，提高高血压、糖尿病患者的控制率，高血压患者血压控制率、糖尿病患者血糖控制率均高于全省平均水平5%。</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ascii="Times New Roman" w:hAnsi="Times New Roman" w:eastAsia="仿宋_GB2312" w:cs="Times New Roman"/>
          <w:sz w:val="32"/>
          <w:szCs w:val="32"/>
        </w:rPr>
        <w:t>建立慢性病分级诊疗制度，依托信息平台实现分级诊疗，形成基层首诊、双向转诊、急慢分治、上下联动的糖尿病和高血压合理就医秩序，基层医疗机构门诊量占比不低于50%。推进家庭医生签约服务，签约团队负责提供约定的基本医疗、公共卫生和健康管理服务，优先将慢性病患者纳入家庭医生签约服务范围。</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ascii="Times New Roman" w:hAnsi="Times New Roman" w:eastAsia="仿宋_GB2312" w:cs="Times New Roman"/>
          <w:sz w:val="32"/>
          <w:szCs w:val="32"/>
        </w:rPr>
        <w:t>健全慢性病医疗保障。人社部门做好基本医疗保险、城乡居民大病保险和医疗救助重大疾病保障的衔接，提高签约患者的医疗保障水平和残疾人、流动人口、低收入等人群医疗救助水平。</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5.</w:t>
      </w:r>
      <w:r>
        <w:rPr>
          <w:rFonts w:ascii="Times New Roman" w:hAnsi="Times New Roman" w:eastAsia="仿宋_GB2312" w:cs="Times New Roman"/>
          <w:sz w:val="32"/>
          <w:szCs w:val="32"/>
        </w:rPr>
        <w:t>建立完善口腔健康服务体系，依托辖区医疗机构建立口腔疾病防治指导中心。全县各中小学、幼儿园限制销售高糖饮料和零食，并有序开展学生口腔健康检查及预防龋齿工作，根据儿童口腔健康检查，采取窝沟封闭等干预措施。辖区内实施儿童窝沟封闭的学校比例不低于60%，12岁儿童患龋率应低于25%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（六）完善慢性病综合监测，促进监测评价和研发创新。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完善慢性病信息监测报告系统，加强信息分析与利用，掌握慢性病流行规律及特点，确定主要健康问题，为制定慢性病防治政策与策略提供循证依据。</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1.开展死因监测、脑卒中、冠心病和肿瘤病例登记报告、伤害病例登记报告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死因监测：根据原省卫生厅、公安厅、民政厅《关于使用&lt;居民死亡医学证明书&gt;、&lt;居民死亡推断书&gt;及加强死因统计工作的通知》（鲁卫疾控发〔2010〕1号）和原国家卫生计生委、公安部、民政部《关于进一步规范人口死亡医学证明和信息登记管理工作的通知》（国卫规范发〔2013〕57号）的要求，继续开展全人群死亡登记报告工作，及时准确收集居民病伤死亡统计信息，评价人群健康水平和卫生状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脑卒中、冠心病、肿瘤和伤害监测：继续加强脑卒中、冠心病、肿瘤发病和伤害病例登记报告工作，定期分析疾病发病变化情况，完成脑卒中、冠心病、肿瘤发病和伤害病例登记报告，评估慢性病预防和控制的效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2.慢性病与营养监测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每5年组织开展1次慢性病与营养监测，并完成调查报告，及时发现和评估重点慢性病状况和影响因素。</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3.慢性病防控社会因素调查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每5年组织开展1次慢性病防控社会因素调查，综合运用社会学、流行病学及管理学理论与方法开展社会因素调查，完成调查报告，用于指引评估示范区建设及慢性病综合防控工作计划的制定。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4.建立区域慢性病监测数据互联互通机制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利用慢病监测信息管理系统，实现辖区县级以上医疗机构慢病监测数据与省级慢病监测平台实现自动推送，做到重点慢</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性病监测数据互联互通。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（七）完善县域卫生信息化平台建设，为慢性病防控提供信息支持。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继续完善县域卫生信息平台建设，将慢性病有关信息作为县域卫生信息平台建设的重要组成部分，在抓好高血压、糖尿病等慢性病患者电子信息化管理的基础上，实现电子健康档案和电子病历的连续记录和信息共享，逐步实现跨部门跨单位间的信息共享，为慢性病预防控制工作提供信息支持和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（八）创建综合防治体系，完善慢性病防控工作机制。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建立防治结合、分工协作、优势互补、上下联动的慢性病综合防治体系，积极打造专业公共卫生机构、二级及以上医院和基层医疗卫生机构“三位一体”的慢性病防控机制，建立信息共享、互联互通机制，推进慢性病防、治、管整体融合发展。建立完善慢性病防控服务体系，明确疾控机构、医院和基层医疗卫生机构职责，完善慢性病防控服务体系的运行、质控、绩效评价机制。开展医联体、医共体等建设，将慢性病防控作为县域医联体、医共体的重点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楷体_GB2312" w:hAnsi="楷体_GB2312" w:eastAsia="楷体_GB2312" w:cs="楷体_GB2312"/>
          <w:kern w:val="0"/>
          <w:sz w:val="32"/>
          <w:szCs w:val="32"/>
        </w:rPr>
      </w:pPr>
      <w:r>
        <w:rPr>
          <w:rFonts w:ascii="楷体_GB2312" w:hAnsi="楷体_GB2312" w:eastAsia="楷体_GB2312" w:cs="楷体_GB2312"/>
          <w:kern w:val="0"/>
          <w:sz w:val="32"/>
          <w:szCs w:val="32"/>
        </w:rPr>
        <w:t>（九）加强慢性病防控队伍和能力建设，提升慢性病综合防控水平。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卫生行政部门设立慢性病管理职能科室，疾病预防控制和各医疗机构要设有单独的科室负责慢性病防控工作，固定专人负责慢性病防控工作，疾控机构慢性病防控工作专职人员占本机构专业人员总数的比例不低于10％。二级以上医疗机构每年组织对辖区基层医疗机构的慢性病专业培训不少于2次，基层医疗机构每年接受上级培训不少于2次，基层医疗机构每年组织对村医或社区卫生服务站医护人员的培训不少于2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四、保障措施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（一）加强领导，健全机制。</w:t>
      </w:r>
      <w:r>
        <w:rPr>
          <w:rFonts w:ascii="Times New Roman" w:hAnsi="Times New Roman" w:eastAsia="仿宋_GB2312" w:cs="Times New Roman"/>
          <w:sz w:val="32"/>
          <w:szCs w:val="32"/>
        </w:rPr>
        <w:t>建立完善创建领导体系，健全组织协调机制。县慢性病综合防控示范区建设工作领导小组，协调领导慢病示范区建设工作，研究解决慢性病防控工作中遇到的困难和问题，统筹协调社会各界防治力量与资源。领导小组下设办公室，办公室设在县卫生健康局，各乡镇（街道）政府（办事处）、各有关部门也要成立相应机构，负责辖区或本部门慢性病综合防控工作的具体组织实施。各成员单位要把慢性病综合防控示范区创建工作列入重要议事日程，切实加强组织领导，完善政策措施，细化目标任务，明确职责分工，完善推进措施，加大推进力度，提高工作实效。要建立定期通报、协商制度，强化信息沟通，广泛动员群众参与，保障创建工作顺利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（二）明确分工，落实责任。</w:t>
      </w:r>
      <w:r>
        <w:rPr>
          <w:rFonts w:ascii="Times New Roman" w:hAnsi="Times New Roman" w:eastAsia="仿宋_GB2312" w:cs="Times New Roman"/>
          <w:sz w:val="32"/>
          <w:szCs w:val="32"/>
        </w:rPr>
        <w:t>领导小组办公室负责活动的总体安排、调度、协调及督查等工作；县发改部门负责将慢性病防控工作纳入全县社会经济发展总体规划之中，并对实施情况进行监督；卫健部门负责制订全县慢性病综合防控工作方案、慢病示范区建设年度工作计划和监督评价方法，承担技术指导及慢性病患者管理等具体工作，定期开展防治效果评估，及时向县政府和县慢性病防制工作领导小组汇报慢性病防控工作开展情况；财政部门根据创建工作需要，负责安排必要的慢病示范区建设工作经费；宣传、广电部门要充分发挥舆论导向作用，广泛开展慢性病综合防控示范区建设专题宣传，营造人人关心、全民参与的良好氛围，并负责慢性病防治知识宣传；公安部门负责提供全县人口及死亡资料，做好居民死亡登记报告工作；教育体育部门负责将营养均衡、口腔保健、健康体重、视力保护、慢性病防治等知识纳入中小学健康教育教学内容，制订学生慢性病防控知识教学计划，督导各类学校开展健康教育活动；住建、规划等部门负责社区公共卫生设施、公众健身休闲场所的规划、设计、施工和管理等；民政部门负责为慢性病致贫困难家庭提供经济救助，提供全县死亡数据，协助做好居民死亡登记报告工作；文化、体育、工会、文化旅游部门负责组织文化娱乐和全民健身活动，推动落实工间操制度；人社部门负责慢性病防治专业人才引进，医保部门完善医疗保险政策，做好参保人员的医疗保障工作，提供肿瘤、冠心病（急性心肌梗死）、脑卒中（脑出血、脑梗死）报销病例相关信息，协助做好肿瘤、冠心病、脑卒中病例登记报告工作；园林、体育部门要根据各自职责，积极打造慢性病宣传阵地，扩大慢性病综合防控知识信息的覆盖人群；市场监管部门要加强餐饮业、食品生产加工企业管理，对从业人员定期进行“减盐、减油、减糖”健康膳食知识与技能的培训；盐务部门负责对碘盐市场的监督管理，积极引进低钠钾盐并加大推广使用力度；妇联、统计、爱卫办等相关部门要结合自身职责，各司其职，密切配合，落实相关慢性病防控措施，形成综合防控工作合力；各乡镇人民政府、郯城街道办事处、新村银杏产业开发区管委会所辖村居（社区）要营造利于宣传慢性病防控知识、培养慢性病防控技能的支持性环境，组织和引导广大群众积极参与各项创建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（三）制定政策，严格执行。</w:t>
      </w:r>
      <w:r>
        <w:rPr>
          <w:rFonts w:ascii="Times New Roman" w:hAnsi="Times New Roman" w:eastAsia="仿宋_GB2312" w:cs="Times New Roman"/>
          <w:sz w:val="32"/>
          <w:szCs w:val="32"/>
        </w:rPr>
        <w:t>将慢性病防控工作列入全县社会经济发展规划，制定出台慢性病预防控制规划，慢性病防控融入各部门政策规章制度，各相关部门要出台必要的与慢性病防控及病人治疗相关的公共卫生政策，支持慢性病综合防控工作，基本内容包括烟草控制、降低有害饮酒、营养干预、控制体重、全民健身等慢性病危险因素干预、疾病管理相关的政策和干预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（四）技术指导，保证质量。</w:t>
      </w:r>
      <w:r>
        <w:rPr>
          <w:rFonts w:ascii="Times New Roman" w:hAnsi="Times New Roman" w:eastAsia="仿宋_GB2312" w:cs="Times New Roman"/>
          <w:sz w:val="32"/>
          <w:szCs w:val="32"/>
        </w:rPr>
        <w:t>卫健部门负责成立技术指导专家组，组织制定慢性病监测、管理，干预技术方案和工作质量考核评价标准，并对慢性病综合防控工作情况进行技术指导、督导、检查、考核加强慢性病综合防控专业队伍建设，通过逐级培训等方式，提高专业人员管理、监测、干预等技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楷体_GB2312" w:hAnsi="楷体_GB2312" w:eastAsia="楷体_GB2312" w:cs="楷体_GB2312"/>
          <w:kern w:val="0"/>
          <w:sz w:val="32"/>
          <w:szCs w:val="32"/>
        </w:rPr>
        <w:t>（五）强化督导，严格考评。</w:t>
      </w:r>
      <w:r>
        <w:rPr>
          <w:rFonts w:ascii="Times New Roman" w:hAnsi="Times New Roman" w:eastAsia="仿宋_GB2312" w:cs="Times New Roman"/>
          <w:sz w:val="32"/>
          <w:szCs w:val="32"/>
        </w:rPr>
        <w:t>各有关部门要依据《山东省慢性非传染性疾病综合防控示范县（市、区）评价指标体系（2019版）与分工（试行）》（见附件1），对照各自职责制定工作规划，建立督导评价机制，按时完成各项工作指标。为保证示范区建设工作进度和质量，县慢性病综合防控示范区建设工作领导小组办公室将组织相关成员单位定期对全县省级慢性病综合防控示范区建设的管理体系、政策制定、经费保障、队伍建设、组织实施等开展情况，进行督导检查和考核评估，对措施不力、任务落实不到位、未按要求开展工作的单位给予通报批评，限期整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1695" w:leftChars="303" w:hanging="1059" w:hangingChars="331"/>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附件：1.山东省慢性非传染性疾病综合防控示范县（市、区）评价指标体系（2019版）与分工（试行）</w:t>
      </w:r>
    </w:p>
    <w:p>
      <w:pPr>
        <w:keepNext w:val="0"/>
        <w:keepLines w:val="0"/>
        <w:pageBreakBefore w:val="0"/>
        <w:widowControl w:val="0"/>
        <w:kinsoku/>
        <w:wordWrap/>
        <w:overflowPunct/>
        <w:topLinePunct w:val="0"/>
        <w:autoSpaceDE/>
        <w:autoSpaceDN/>
        <w:bidi w:val="0"/>
        <w:adjustRightInd/>
        <w:snapToGrid/>
        <w:spacing w:line="600" w:lineRule="exact"/>
        <w:ind w:left="1676" w:leftChars="704" w:hanging="198" w:hangingChars="62"/>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2.郯城县省级慢性病综合防控示范区建设部门职责（2019版）</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78" w:firstLineChars="462"/>
        <w:textAlignment w:val="auto"/>
        <w:rPr>
          <w:rFonts w:ascii="Times New Roman" w:hAnsi="Times New Roman" w:eastAsia="仿宋_GB2312" w:cs="Times New Roman"/>
          <w:spacing w:val="-20"/>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0"/>
          <w:sz w:val="32"/>
          <w:szCs w:val="32"/>
        </w:rPr>
        <w:t>郯城县慢性病综合防控示范区建设复审工作联络员统计表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黑体" w:hAnsi="黑体" w:eastAsia="黑体" w:cs="黑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黑体" w:hAnsi="黑体" w:eastAsia="黑体" w:cs="黑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黑体" w:hAnsi="黑体" w:eastAsia="黑体" w:cs="黑体"/>
          <w:color w:val="000000"/>
          <w:sz w:val="32"/>
          <w:szCs w:val="32"/>
        </w:rPr>
        <w:sectPr>
          <w:footerReference r:id="rId12" w:type="default"/>
          <w:pgSz w:w="11906" w:h="16838"/>
          <w:pgMar w:top="1814" w:right="1587" w:bottom="1701" w:left="1587" w:header="851" w:footer="992" w:gutter="0"/>
          <w:pgNumType w:fmt="decimal"/>
          <w:cols w:space="425" w:num="1"/>
          <w:docGrid w:type="lines" w:linePitch="312" w:charSpace="0"/>
        </w:sectPr>
      </w:pPr>
    </w:p>
    <w:p>
      <w:pPr>
        <w:spacing w:line="560" w:lineRule="exact"/>
        <w:rPr>
          <w:rFonts w:ascii="黑体" w:hAnsi="黑体" w:eastAsia="黑体" w:cs="黑体"/>
          <w:color w:val="000000"/>
          <w:sz w:val="32"/>
          <w:szCs w:val="32"/>
        </w:rPr>
      </w:pPr>
      <w:r>
        <w:rPr>
          <w:rFonts w:hint="eastAsia" w:ascii="黑体" w:hAnsi="黑体" w:eastAsia="黑体" w:cs="黑体"/>
          <w:color w:val="000000"/>
          <w:sz w:val="32"/>
          <w:szCs w:val="32"/>
        </w:rPr>
        <w:t>附件1</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山东省慢性非传染性疾病综合防控示范县</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（市、区）评价指标体系（2019版）</w:t>
      </w:r>
    </w:p>
    <w:p>
      <w:pPr>
        <w:spacing w:line="560" w:lineRule="exact"/>
        <w:jc w:val="center"/>
        <w:rPr>
          <w:rFonts w:ascii="Times New Roman" w:hAnsi="Times New Roman" w:eastAsia="文星标宋" w:cs="Times New Roman"/>
          <w:bCs/>
          <w:sz w:val="44"/>
          <w:szCs w:val="44"/>
        </w:rPr>
      </w:pPr>
      <w:r>
        <w:rPr>
          <w:rFonts w:hint="eastAsia" w:ascii="方正小标宋简体" w:hAnsi="方正小标宋简体" w:eastAsia="方正小标宋简体" w:cs="方正小标宋简体"/>
          <w:bCs/>
          <w:sz w:val="44"/>
          <w:szCs w:val="44"/>
        </w:rPr>
        <w:t>与分工（试行）</w:t>
      </w:r>
    </w:p>
    <w:p>
      <w:pPr>
        <w:spacing w:line="560" w:lineRule="exact"/>
        <w:ind w:firstLine="640" w:firstLineChars="200"/>
        <w:rPr>
          <w:rFonts w:ascii="Times New Roman" w:hAnsi="Times New Roman" w:eastAsia="文星仿宋" w:cs="Times New Roman"/>
          <w:sz w:val="32"/>
          <w:szCs w:val="32"/>
        </w:rPr>
      </w:pPr>
    </w:p>
    <w:tbl>
      <w:tblPr>
        <w:tblStyle w:val="10"/>
        <w:tblW w:w="948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305"/>
        <w:gridCol w:w="1927"/>
        <w:gridCol w:w="2993"/>
        <w:gridCol w:w="847"/>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noWrap/>
            <w:vAlign w:val="center"/>
          </w:tcPr>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指标</w:t>
            </w:r>
          </w:p>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分类</w:t>
            </w:r>
          </w:p>
        </w:tc>
        <w:tc>
          <w:tcPr>
            <w:tcW w:w="1305" w:type="dxa"/>
            <w:noWrap/>
            <w:vAlign w:val="center"/>
          </w:tcPr>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指标</w:t>
            </w:r>
          </w:p>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内容</w:t>
            </w:r>
          </w:p>
        </w:tc>
        <w:tc>
          <w:tcPr>
            <w:tcW w:w="1927" w:type="dxa"/>
            <w:noWrap/>
            <w:vAlign w:val="center"/>
          </w:tcPr>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指标要求</w:t>
            </w:r>
          </w:p>
        </w:tc>
        <w:tc>
          <w:tcPr>
            <w:tcW w:w="2993" w:type="dxa"/>
            <w:noWrap/>
            <w:vAlign w:val="center"/>
          </w:tcPr>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赋分标准</w:t>
            </w:r>
          </w:p>
        </w:tc>
        <w:tc>
          <w:tcPr>
            <w:tcW w:w="847" w:type="dxa"/>
            <w:noWrap/>
            <w:vAlign w:val="center"/>
          </w:tcPr>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权重分值</w:t>
            </w:r>
          </w:p>
        </w:tc>
        <w:tc>
          <w:tcPr>
            <w:tcW w:w="1084" w:type="dxa"/>
            <w:noWrap/>
            <w:vAlign w:val="center"/>
          </w:tcPr>
          <w:p>
            <w:pPr>
              <w:widowControl/>
              <w:spacing w:line="500"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责任</w:t>
            </w:r>
          </w:p>
          <w:p>
            <w:pPr>
              <w:widowControl/>
              <w:spacing w:line="500" w:lineRule="exact"/>
              <w:jc w:val="center"/>
              <w:rPr>
                <w:rFonts w:ascii="Times New Roman" w:hAnsi="Times New Roman" w:eastAsia="黑体" w:cs="Times New Roman"/>
                <w:color w:val="000000"/>
                <w:kern w:val="0"/>
                <w:sz w:val="30"/>
                <w:szCs w:val="30"/>
              </w:rPr>
            </w:pPr>
            <w:r>
              <w:rPr>
                <w:rFonts w:ascii="Times New Roman" w:hAnsi="Times New Roman" w:eastAsia="黑体" w:cs="Times New Roman"/>
                <w:color w:val="000000"/>
                <w:kern w:val="0"/>
                <w:sz w:val="30"/>
                <w:szCs w:val="30"/>
              </w:rPr>
              <w:t>部门</w:t>
            </w:r>
          </w:p>
          <w:p>
            <w:pPr>
              <w:widowControl/>
              <w:spacing w:line="500" w:lineRule="exact"/>
              <w:jc w:val="center"/>
              <w:rPr>
                <w:rFonts w:ascii="Times New Roman" w:hAnsi="Times New Roman" w:eastAsia="黑体" w:cs="Times New Roman"/>
                <w:kern w:val="0"/>
                <w:sz w:val="30"/>
                <w:szCs w:val="30"/>
              </w:rPr>
            </w:pPr>
            <w:r>
              <w:rPr>
                <w:rFonts w:ascii="Times New Roman" w:hAnsi="Times New Roman" w:eastAsia="黑体" w:cs="Times New Roman"/>
                <w:color w:val="000000"/>
                <w:kern w:val="0"/>
                <w:sz w:val="30"/>
                <w:szCs w:val="3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0"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一、政策完善</w:t>
            </w:r>
          </w:p>
          <w:p>
            <w:pPr>
              <w:spacing w:line="500" w:lineRule="exact"/>
              <w:rPr>
                <w:rFonts w:ascii="Times New Roman" w:hAnsi="Times New Roman" w:eastAsia="仿宋_GB2312" w:cs="Times New Roman"/>
                <w:sz w:val="28"/>
                <w:szCs w:val="28"/>
              </w:rPr>
            </w:pPr>
            <w:r>
              <w:rPr>
                <w:rFonts w:hint="eastAsia" w:ascii="Times New Roman" w:hAnsi="Times New Roman" w:eastAsia="仿宋_GB2312" w:cs="Times New Roman"/>
                <w:color w:val="000000"/>
                <w:sz w:val="28"/>
                <w:szCs w:val="28"/>
              </w:rPr>
              <w:t>（</w:t>
            </w:r>
            <w:r>
              <w:rPr>
                <w:rFonts w:ascii="Times New Roman" w:hAnsi="Times New Roman" w:eastAsia="仿宋_GB2312" w:cs="Times New Roman"/>
                <w:color w:val="000000"/>
                <w:sz w:val="28"/>
                <w:szCs w:val="28"/>
              </w:rPr>
              <w:t>4</w:t>
            </w:r>
            <w:r>
              <w:rPr>
                <w:rFonts w:hint="eastAsia" w:ascii="Times New Roman" w:hAnsi="Times New Roman" w:eastAsia="仿宋_GB2312" w:cs="Times New Roman"/>
                <w:color w:val="000000"/>
                <w:sz w:val="28"/>
                <w:szCs w:val="28"/>
              </w:rPr>
              <w:t>5</w:t>
            </w:r>
            <w:r>
              <w:rPr>
                <w:rFonts w:ascii="Times New Roman" w:hAnsi="Times New Roman" w:eastAsia="仿宋_GB2312" w:cs="Times New Roman"/>
                <w:color w:val="000000"/>
                <w:sz w:val="28"/>
                <w:szCs w:val="28"/>
              </w:rPr>
              <w:t>分</w:t>
            </w:r>
            <w:r>
              <w:rPr>
                <w:rFonts w:hint="eastAsia" w:ascii="Times New Roman" w:hAnsi="Times New Roman" w:eastAsia="仿宋_GB2312" w:cs="Times New Roman"/>
                <w:color w:val="000000"/>
                <w:sz w:val="28"/>
                <w:szCs w:val="28"/>
              </w:rPr>
              <w:t>）</w:t>
            </w:r>
          </w:p>
        </w:tc>
        <w:tc>
          <w:tcPr>
            <w:tcW w:w="1305" w:type="dxa"/>
            <w:vMerge w:val="restart"/>
            <w:noWrap/>
            <w:vAlign w:val="center"/>
          </w:tcPr>
          <w:p>
            <w:pPr>
              <w:spacing w:line="500" w:lineRule="exact"/>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（一）发挥政府主导作用，建立多部门协作联动机制。</w:t>
            </w:r>
          </w:p>
          <w:p>
            <w:pPr>
              <w:spacing w:line="500" w:lineRule="exact"/>
              <w:jc w:val="lef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（25分）</w:t>
            </w: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1.辖区政府成立示范区建设领导小组，明确部门职责，建立完善的信息反馈沟通制度。</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（1）成立辖区示范区建设领导小组，明确各部门职责与分工，4分。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（2）设立示范区建设工作办公室，2分。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（3）每年召开1次及以上领导小组工作会议，2分。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（4）根</w:t>
            </w:r>
            <w:r>
              <w:rPr>
                <w:rFonts w:ascii="Times New Roman" w:hAnsi="Times New Roman" w:eastAsia="仿宋_GB2312" w:cs="Times New Roman"/>
                <w:color w:val="000000"/>
                <w:spacing w:val="-8"/>
                <w:sz w:val="28"/>
                <w:szCs w:val="28"/>
              </w:rPr>
              <w:t>据实际工作需要及时召开联络员会议，2分。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10</w:t>
            </w:r>
          </w:p>
        </w:tc>
        <w:tc>
          <w:tcPr>
            <w:tcW w:w="1084" w:type="dxa"/>
            <w:noWrap/>
            <w:vAlign w:val="center"/>
          </w:tcPr>
          <w:p>
            <w:pPr>
              <w:widowControl/>
              <w:spacing w:line="5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政府办公室</w:t>
            </w:r>
            <w:r>
              <w:rPr>
                <w:rFonts w:ascii="Times New Roman" w:hAnsi="Times New Roman" w:eastAsia="仿宋_GB2312" w:cs="Times New Roman"/>
                <w:sz w:val="28"/>
                <w:szCs w:val="28"/>
              </w:rPr>
              <w:t>、</w:t>
            </w:r>
          </w:p>
          <w:p>
            <w:pPr>
              <w:widowControl/>
              <w:spacing w:line="50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sz w:val="28"/>
                <w:szCs w:val="28"/>
              </w:rPr>
              <w:t>县慢性病综合防控</w:t>
            </w:r>
            <w:r>
              <w:rPr>
                <w:rFonts w:ascii="Times New Roman" w:hAnsi="Times New Roman" w:eastAsia="仿宋_GB2312" w:cs="Times New Roman"/>
                <w:sz w:val="28"/>
                <w:szCs w:val="28"/>
              </w:rPr>
              <w:t>示范区建设工作领导小组</w:t>
            </w:r>
            <w:r>
              <w:rPr>
                <w:rFonts w:hint="eastAsia" w:ascii="Times New Roman" w:hAnsi="Times New Roman" w:eastAsia="仿宋_GB2312" w:cs="Times New Roman"/>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continue"/>
            <w:noWrap/>
            <w:vAlign w:val="center"/>
          </w:tcPr>
          <w:p>
            <w:pPr>
              <w:spacing w:line="500" w:lineRule="exact"/>
              <w:jc w:val="left"/>
              <w:rPr>
                <w:rFonts w:ascii="Times New Roman" w:hAnsi="Times New Roman" w:eastAsia="仿宋_GB2312" w:cs="Times New Roman"/>
                <w:sz w:val="28"/>
                <w:szCs w:val="28"/>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2.辖区政府将慢性病防控工作纳入当地经济社会发展规划。</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（1）慢性病防控工作纳入社会经济发展规划，3分。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（2）政府制定慢性病综合防控示范区建设实施方案，2分。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5</w:t>
            </w:r>
          </w:p>
        </w:tc>
        <w:tc>
          <w:tcPr>
            <w:tcW w:w="1084" w:type="dxa"/>
            <w:noWrap/>
            <w:vAlign w:val="center"/>
          </w:tcPr>
          <w:p>
            <w:pPr>
              <w:widowControl/>
              <w:spacing w:line="50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continue"/>
            <w:noWrap/>
            <w:vAlign w:val="center"/>
          </w:tcPr>
          <w:p>
            <w:pPr>
              <w:spacing w:line="500" w:lineRule="exact"/>
              <w:jc w:val="left"/>
              <w:rPr>
                <w:rFonts w:ascii="Times New Roman" w:hAnsi="Times New Roman" w:eastAsia="仿宋_GB2312" w:cs="Times New Roman"/>
                <w:sz w:val="28"/>
                <w:szCs w:val="28"/>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3.慢</w:t>
            </w:r>
            <w:r>
              <w:rPr>
                <w:rFonts w:ascii="Times New Roman" w:hAnsi="Times New Roman" w:eastAsia="仿宋_GB2312" w:cs="Times New Roman"/>
                <w:color w:val="000000"/>
                <w:spacing w:val="-8"/>
                <w:kern w:val="0"/>
                <w:sz w:val="28"/>
                <w:szCs w:val="28"/>
              </w:rPr>
              <w:t>性病防控融入各部门政策，包括烟草控制、降低有害饮酒、营养干预、控制体重、全民健身等慢性病危险因素干预、疾病管理相关的政策和干预措施</w:t>
            </w:r>
            <w:r>
              <w:rPr>
                <w:rFonts w:ascii="Times New Roman" w:hAnsi="Times New Roman" w:eastAsia="仿宋_GB2312" w:cs="Times New Roman"/>
                <w:color w:val="000000"/>
                <w:kern w:val="0"/>
                <w:sz w:val="28"/>
                <w:szCs w:val="28"/>
              </w:rPr>
              <w:t>。</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抽查5个部门制定落实相关健康政策情况。</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（1）凡制定并落实，每个部门得1分，满分5分。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（2）制定但没有落实，每个部门得0.5分。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5</w:t>
            </w:r>
          </w:p>
        </w:tc>
        <w:tc>
          <w:tcPr>
            <w:tcW w:w="1084" w:type="dxa"/>
            <w:noWrap/>
            <w:vAlign w:val="center"/>
          </w:tcPr>
          <w:p>
            <w:pPr>
              <w:spacing w:line="50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sz w:val="28"/>
                <w:szCs w:val="28"/>
              </w:rPr>
              <w:t>政府办公室</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（社区、村）、县直各部门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continue"/>
            <w:noWrap/>
            <w:vAlign w:val="center"/>
          </w:tcPr>
          <w:p>
            <w:pPr>
              <w:spacing w:line="500" w:lineRule="exact"/>
              <w:jc w:val="left"/>
              <w:rPr>
                <w:rFonts w:ascii="Times New Roman" w:hAnsi="Times New Roman" w:eastAsia="仿宋_GB2312" w:cs="Times New Roman"/>
                <w:sz w:val="28"/>
                <w:szCs w:val="28"/>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4.示范区建设领导小组建立工作调研或督导制度，开展示范区建设的多部门联合调研或督导。</w:t>
            </w:r>
          </w:p>
        </w:tc>
        <w:tc>
          <w:tcPr>
            <w:tcW w:w="2993" w:type="dxa"/>
            <w:noWrap/>
            <w:vAlign w:val="center"/>
          </w:tcPr>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每年组织2次多部门参与的联合调研或督导，每次得1分。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5</w:t>
            </w:r>
          </w:p>
        </w:tc>
        <w:tc>
          <w:tcPr>
            <w:tcW w:w="1084" w:type="dxa"/>
            <w:noWrap/>
            <w:vAlign w:val="center"/>
          </w:tcPr>
          <w:p>
            <w:pPr>
              <w:spacing w:line="50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sz w:val="28"/>
                <w:szCs w:val="28"/>
              </w:rPr>
              <w:t>政府办公室</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县慢性病综合防控</w:t>
            </w:r>
            <w:r>
              <w:rPr>
                <w:rFonts w:ascii="Times New Roman" w:hAnsi="Times New Roman" w:eastAsia="仿宋_GB2312" w:cs="Times New Roman"/>
                <w:sz w:val="28"/>
                <w:szCs w:val="28"/>
              </w:rPr>
              <w:t>示范区建设工作领导小组</w:t>
            </w:r>
            <w:r>
              <w:rPr>
                <w:rFonts w:hint="eastAsia" w:ascii="Times New Roman" w:hAnsi="Times New Roman" w:eastAsia="仿宋_GB2312" w:cs="Times New Roman"/>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（二）保障慢性病防控经费。</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（10分）</w:t>
            </w: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1.慢性病防控工作经费纳入政府年度预算、决算管理。</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（1）慢性病防控工作经费纳入政府预算、决算管理，各1分。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（2）经</w:t>
            </w:r>
            <w:r>
              <w:rPr>
                <w:rFonts w:ascii="Times New Roman" w:hAnsi="Times New Roman" w:eastAsia="仿宋_GB2312" w:cs="Times New Roman"/>
                <w:color w:val="000000"/>
                <w:spacing w:val="-14"/>
                <w:sz w:val="28"/>
                <w:szCs w:val="28"/>
              </w:rPr>
              <w:t>费预算执行率达到100%， 1分。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3</w:t>
            </w:r>
          </w:p>
        </w:tc>
        <w:tc>
          <w:tcPr>
            <w:tcW w:w="1084" w:type="dxa"/>
            <w:noWrap/>
            <w:vAlign w:val="center"/>
          </w:tcPr>
          <w:p>
            <w:pPr>
              <w:spacing w:line="5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县财</w:t>
            </w:r>
          </w:p>
          <w:p>
            <w:pPr>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continue"/>
            <w:noWrap/>
            <w:vAlign w:val="center"/>
          </w:tcPr>
          <w:p>
            <w:pPr>
              <w:spacing w:line="500" w:lineRule="exact"/>
              <w:jc w:val="left"/>
              <w:rPr>
                <w:rFonts w:ascii="Times New Roman" w:hAnsi="Times New Roman" w:eastAsia="仿宋_GB2312" w:cs="Times New Roman"/>
                <w:sz w:val="28"/>
                <w:szCs w:val="28"/>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2.辖区政府按规划、计划拨付示范区建设专项工作经费，专款专用。</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（1）拨付示范区建设专项工作经费，3分。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（2）慢性病防控经费专项管理，确保专款专用，2分。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5</w:t>
            </w:r>
          </w:p>
        </w:tc>
        <w:tc>
          <w:tcPr>
            <w:tcW w:w="1084" w:type="dxa"/>
            <w:noWrap/>
            <w:vAlign w:val="center"/>
          </w:tcPr>
          <w:p>
            <w:pPr>
              <w:widowControl/>
              <w:spacing w:line="5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县财</w:t>
            </w:r>
          </w:p>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continue"/>
            <w:noWrap/>
            <w:vAlign w:val="center"/>
          </w:tcPr>
          <w:p>
            <w:pPr>
              <w:spacing w:line="500" w:lineRule="exact"/>
              <w:jc w:val="left"/>
              <w:rPr>
                <w:rFonts w:ascii="Times New Roman" w:hAnsi="Times New Roman" w:eastAsia="仿宋_GB2312" w:cs="Times New Roman"/>
                <w:sz w:val="28"/>
                <w:szCs w:val="28"/>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3.保障疾控机构的慢性病防控工作经费。</w:t>
            </w:r>
          </w:p>
        </w:tc>
        <w:tc>
          <w:tcPr>
            <w:tcW w:w="2993" w:type="dxa"/>
            <w:noWrap/>
            <w:vAlign w:val="center"/>
          </w:tcPr>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慢性病防控工作经费占疾控机构业务总经费的比例＞10%， 2分；10%，1分；10%以下不得分。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w:t>
            </w:r>
          </w:p>
        </w:tc>
        <w:tc>
          <w:tcPr>
            <w:tcW w:w="1084" w:type="dxa"/>
            <w:noWrap/>
            <w:vAlign w:val="center"/>
          </w:tcPr>
          <w:p>
            <w:pPr>
              <w:widowControl/>
              <w:spacing w:line="5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县财</w:t>
            </w:r>
          </w:p>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eastAsia="仿宋_GB2312" w:cs="Times New Roman"/>
                <w:sz w:val="28"/>
                <w:szCs w:val="28"/>
              </w:rPr>
            </w:pPr>
          </w:p>
        </w:tc>
        <w:tc>
          <w:tcPr>
            <w:tcW w:w="1305" w:type="dxa"/>
            <w:vMerge w:val="restart"/>
            <w:noWrap/>
            <w:vAlign w:val="center"/>
          </w:tcPr>
          <w:p>
            <w:pPr>
              <w:spacing w:line="500" w:lineRule="exact"/>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（三）建立有效的绩效管理及评价机制。</w:t>
            </w:r>
          </w:p>
          <w:p>
            <w:pPr>
              <w:spacing w:line="500" w:lineRule="exact"/>
              <w:jc w:val="lef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（10分）</w:t>
            </w: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1.辖区政府将示范区建设实施方案相关工作纳入各相关部门年度目标管理。</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（1）辖区政府将示范区建设工作纳入各相关部门年度目标管理，2分。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（2）抽查5个部门执行情况，有2个及以上部门没纳入目标管理者不得分。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w:t>
            </w:r>
          </w:p>
        </w:tc>
        <w:tc>
          <w:tcPr>
            <w:tcW w:w="1084" w:type="dxa"/>
            <w:noWrap/>
            <w:vAlign w:val="center"/>
          </w:tcPr>
          <w:p>
            <w:pPr>
              <w:widowControl/>
              <w:spacing w:line="50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sz w:val="28"/>
                <w:szCs w:val="28"/>
              </w:rPr>
              <w:t>政府办公室</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社</w:t>
            </w:r>
            <w:r>
              <w:rPr>
                <w:rFonts w:ascii="Times New Roman" w:hAnsi="Times New Roman" w:eastAsia="仿宋_GB2312" w:cs="Times New Roman"/>
                <w:sz w:val="28"/>
                <w:szCs w:val="28"/>
              </w:rPr>
              <w:t>区、村）、县直各部门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2.辖区政府将示范区建设实施方案相关工作纳入各部门绩效考核。</w:t>
            </w:r>
          </w:p>
        </w:tc>
        <w:tc>
          <w:tcPr>
            <w:tcW w:w="2993" w:type="dxa"/>
            <w:noWrap/>
            <w:vAlign w:val="center"/>
          </w:tcPr>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（1）抽取2-3个相关部门职能科室，询问相关职责知晓与执行情况。部门履职率达100%，8分。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8</w:t>
            </w:r>
          </w:p>
        </w:tc>
        <w:tc>
          <w:tcPr>
            <w:tcW w:w="1084" w:type="dxa"/>
            <w:noWrap/>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eastAsia="仿宋_GB2312" w:cs="Times New Roman"/>
                <w:kern w:val="0"/>
                <w:sz w:val="28"/>
                <w:szCs w:val="28"/>
              </w:rPr>
            </w:pPr>
            <w:r>
              <w:rPr>
                <w:rFonts w:hint="eastAsia" w:ascii="Times New Roman" w:hAnsi="Times New Roman" w:eastAsia="仿宋_GB2312" w:cs="Times New Roman"/>
                <w:sz w:val="28"/>
                <w:szCs w:val="28"/>
              </w:rPr>
              <w:t>政府办公室</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（社区、村）、县直各部门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二、环境支持</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（50分）</w:t>
            </w:r>
          </w:p>
        </w:tc>
        <w:tc>
          <w:tcPr>
            <w:tcW w:w="1305" w:type="dxa"/>
            <w:vMerge w:val="restart"/>
            <w:noWrap/>
            <w:vAlign w:val="center"/>
          </w:tcPr>
          <w:p>
            <w:pPr>
              <w:spacing w:line="500" w:lineRule="exact"/>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（一）开展全民健康生活方式行动，实施健康细胞工程建设，构建全方位健康支持性环境。</w:t>
            </w:r>
          </w:p>
          <w:p>
            <w:pPr>
              <w:spacing w:line="500" w:lineRule="exact"/>
              <w:jc w:val="lef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（22分）</w:t>
            </w: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sz w:val="28"/>
                <w:szCs w:val="28"/>
              </w:rPr>
              <w:t>★</w:t>
            </w:r>
            <w:r>
              <w:rPr>
                <w:rFonts w:ascii="Times New Roman" w:hAnsi="Times New Roman" w:eastAsia="仿宋_GB2312" w:cs="Times New Roman"/>
                <w:color w:val="000000"/>
                <w:kern w:val="0"/>
                <w:sz w:val="28"/>
                <w:szCs w:val="28"/>
              </w:rPr>
              <w:t>1.开展健康家庭、社区（村）、企业、机关（单位）、医院、学校、餐厅（食堂）、市场（超市、商场）建设，数量逐年增加。</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（1）开展健康家庭创建活动的社区（村）占辖区社区（村）总数的30%以上，2分；20-30%，1分；20%以下不得分。每个社区至少评选 10 个及以上健康家庭，不达标者酌情扣分。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（2）创建健康社区（村）、企业、机关（单位）、医院、学校、餐厅（食堂）、</w:t>
            </w:r>
            <w:r>
              <w:rPr>
                <w:rFonts w:ascii="Times New Roman" w:hAnsi="Times New Roman" w:eastAsia="仿宋_GB2312" w:cs="Times New Roman"/>
                <w:color w:val="000000"/>
                <w:kern w:val="0"/>
                <w:sz w:val="28"/>
                <w:szCs w:val="28"/>
              </w:rPr>
              <w:t>市场（超市、商场）占同类单位总数的30%以上，每类得1分；20-30%，每类得0.5分，20%以下不得分。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（3）查阅名单，随机抽查每类1个单位，发现有1个不达标的该类别不得分。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（4）复审：开展健康家庭评选活动的社区（村）占辖区社区（村）总数的比例每年递增3%或达到40%以上得2分；其他健康细胞占同类单位总数的比例每年递增3% 或达到30%以上，每类1分，每年增加比例未达到要求者该类不得分。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9</w:t>
            </w:r>
          </w:p>
        </w:tc>
        <w:tc>
          <w:tcPr>
            <w:tcW w:w="1084" w:type="dxa"/>
            <w:noWrap/>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县妇联（</w:t>
            </w:r>
            <w:r>
              <w:rPr>
                <w:rFonts w:ascii="Times New Roman" w:hAnsi="Times New Roman" w:eastAsia="仿宋_GB2312" w:cs="Times New Roman"/>
                <w:color w:val="000000"/>
                <w:sz w:val="28"/>
                <w:szCs w:val="28"/>
              </w:rPr>
              <w:t>家庭）</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（社区、村）、县总工会（机关、单位、企业）、县卫健局（医院）、县教体局（学校）、县市场监管局（餐厅、食堂、市场、超市、商场）、县爱卫服务中心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widowControl/>
              <w:spacing w:line="500" w:lineRule="exact"/>
              <w:rPr>
                <w:rFonts w:ascii="Times New Roman" w:hAnsi="Times New Roman" w:eastAsia="仿宋_GB2312" w:cs="Times New Roman"/>
                <w:kern w:val="0"/>
                <w:sz w:val="28"/>
                <w:szCs w:val="28"/>
              </w:rPr>
            </w:pPr>
            <w:r>
              <w:rPr>
                <w:rFonts w:ascii="Times New Roman" w:hAnsi="Times New Roman" w:eastAsia="仿宋_GB2312" w:cs="Times New Roman"/>
                <w:color w:val="000000"/>
                <w:sz w:val="28"/>
                <w:szCs w:val="28"/>
              </w:rPr>
              <w:t>★</w:t>
            </w:r>
            <w:r>
              <w:rPr>
                <w:rFonts w:ascii="Times New Roman" w:hAnsi="Times New Roman" w:eastAsia="仿宋_GB2312" w:cs="Times New Roman"/>
                <w:color w:val="000000"/>
                <w:kern w:val="0"/>
                <w:sz w:val="28"/>
                <w:szCs w:val="28"/>
              </w:rPr>
              <w:t>2.开展健康主题广场（公园）、步道（健康街道）等健康支持性环境建设，数量逐年增加。</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（1）规划建设健康主题广场（公园）、步道（健康街道）等，每建设1类，得1分，满分2分。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（2）现场评估发现1个不达标，该类别不得分。</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color w:val="000000"/>
                <w:sz w:val="28"/>
                <w:szCs w:val="28"/>
              </w:rPr>
              <w:t>（3）复审：健康主题广场（公园）、步道（健康街道）等数量逐年有增加或每类建设数量达到3个，每类1分，满分2分，未达到要求者该类别不得分。</w:t>
            </w:r>
          </w:p>
        </w:tc>
        <w:tc>
          <w:tcPr>
            <w:tcW w:w="847" w:type="dxa"/>
            <w:noWrap/>
            <w:vAlign w:val="center"/>
          </w:tcPr>
          <w:p>
            <w:pPr>
              <w:widowControl/>
              <w:spacing w:line="5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color w:val="000000"/>
                <w:kern w:val="0"/>
                <w:sz w:val="28"/>
                <w:szCs w:val="28"/>
              </w:rPr>
              <w:t>2</w:t>
            </w:r>
          </w:p>
        </w:tc>
        <w:tc>
          <w:tcPr>
            <w:tcW w:w="1084" w:type="dxa"/>
            <w:noWrap/>
            <w:vAlign w:val="center"/>
          </w:tcPr>
          <w:p>
            <w:pPr>
              <w:widowControl/>
              <w:spacing w:line="500" w:lineRule="exact"/>
              <w:jc w:val="center"/>
              <w:rPr>
                <w:rFonts w:ascii="Times New Roman" w:hAnsi="Times New Roman" w:eastAsia="仿宋_GB2312" w:cs="Times New Roman"/>
                <w:kern w:val="0"/>
                <w:sz w:val="28"/>
                <w:szCs w:val="28"/>
                <w:highlight w:val="yellow"/>
              </w:rPr>
            </w:pPr>
            <w:r>
              <w:rPr>
                <w:rFonts w:ascii="Times New Roman" w:hAnsi="Times New Roman" w:eastAsia="仿宋_GB2312" w:cs="Times New Roman"/>
                <w:sz w:val="28"/>
                <w:szCs w:val="28"/>
              </w:rPr>
              <w:t>县园林绿化综合服务中心（公园、步道、街道）、县卫健局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★3.开展“一评二控三减四健”（健康评估、控烟、控酒、减盐、减油、减糖、健康口腔、健康体重、健康骨骼、健康心理）专项行动。</w:t>
            </w:r>
          </w:p>
        </w:tc>
        <w:tc>
          <w:tcPr>
            <w:tcW w:w="2993" w:type="dxa"/>
            <w:noWrap/>
            <w:vAlign w:val="center"/>
          </w:tcPr>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（1）开展专项行动, 每开展一项得0.5分，获得省级及以上奖励1次得1分，满分7分。减盐行动为必选项，未开展该项不得分。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（2）食盐与食用油的摄入量低于全省平均水平10%以上,各1分。</w:t>
            </w:r>
          </w:p>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（3）复审：开展专项行动、每开展一项得0.7分。食盐与食用油的摄入量5年下降10%或低于全省平均水平10%以上，各1分，未达到要求者不得分。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县卫健局、县教体局、县市场监管局、县文化旅游局、县总工会、</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县妇联、县盐务局、县体育发展服务中心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4.培养基层健康指导员</w:t>
            </w:r>
          </w:p>
        </w:tc>
        <w:tc>
          <w:tcPr>
            <w:tcW w:w="2993" w:type="dxa"/>
            <w:noWrap/>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（1）配备健康指导员的村（社区）比例达到60%，得2分，不达标不得分。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（2）复审：配备健康指导员的村（社区）比例年增加10%或达到90%以上，得2分，未达到要求者不得分。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县卫健局、县妇联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（二）为群众提供方便、可及的自助式健康检测服务。（8分）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1.社区设立自助式健康检测点，检测内容包括身高、体重、腰围、血压等。（不含设在医疗卫生机构内的）</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（1）设置自助式健康检测点的社区比例不低于30%，4分； 20-30%，2分；20%以下不得分。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（2）复审：自助式健康检测点逐年增加5%或达到40%，4分，未达到要求者不得分。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县卫健局、</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2.社区卫生服务中心和乡镇卫生院设置自助式健康检测点，并提供个体化健康指导。</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（1）设置健康检测点的机构覆盖率＞80%，2分；70-80%，1分；70%以下不得分。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（2）提供个性化健康指导的机构比例＞50%，2分；30-50%，1分；30%以下不得分。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（三）开展全民健身运动，普及公共体育设施，提高经常参加体育锻炼人口比例。</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1.社区建设15分钟健身圈，完善居民健身公共服务体系。</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（1）社区15分钟健身圈的覆盖率≥90%，1分；70-90%，0.5分；70%以下不得分。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（2）设备完好100%，0.5分；其余0分。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（3）人均体育场地面积不低于2平米，0.5分。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2.公共体育场地、有条件的企事业、学校的体育场地免费或低收费向社区居民开放。</w:t>
            </w:r>
          </w:p>
        </w:tc>
        <w:tc>
          <w:tcPr>
            <w:tcW w:w="2993" w:type="dxa"/>
            <w:noWrap/>
            <w:vAlign w:val="center"/>
          </w:tcPr>
          <w:p>
            <w:pPr>
              <w:spacing w:line="50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（1）公共体育场地、设施免费或低收费开放比例100%，1分；其余0分。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（2）有条件的单位免费或低收费开放比例≥30%，1分；30%以下不得分。</w:t>
            </w:r>
          </w:p>
          <w:p>
            <w:pPr>
              <w:spacing w:line="500" w:lineRule="exact"/>
              <w:jc w:val="both"/>
              <w:rPr>
                <w:rFonts w:ascii="Times New Roman" w:hAnsi="Times New Roman" w:eastAsia="仿宋_GB2312" w:cs="Times New Roman"/>
                <w:color w:val="000000"/>
                <w:sz w:val="28"/>
                <w:szCs w:val="28"/>
              </w:rPr>
            </w:pP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县教体局、县体育发展服务中心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3.机关、企事业单位开展工间（前）健身活动，组织符合单位特点的健身和竞赛活动。</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（1）开展工间（前）健身活动单位覆盖率≥80%，1分；80%以下不得分。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（2）每年机关、企事业单位组织开展至少1次健身竞赛活动，1分；未开展不得分。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县总</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工会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4.实施青少年体育活动促进计划。</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中、小学生每天锻炼1小时的比例达到100%，2分；80-100%，1分；80%以下不得分。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县教</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5.提高经常参加体育锻炼人口比例，提倡科学健身，促进体医融合。</w:t>
            </w:r>
          </w:p>
        </w:tc>
        <w:tc>
          <w:tcPr>
            <w:tcW w:w="2993" w:type="dxa"/>
            <w:noWrap/>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（1）经常参加体育锻炼人口比例≥40%,1分； 35-40%，0.5分；35%以下不得分。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（2）开展国民体质健康监测，为居民提供个体化运动处方，1分；未开展不得分。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（四）开展烟草控制，降低人群吸烟率。</w:t>
            </w:r>
          </w:p>
          <w:p>
            <w:pPr>
              <w:spacing w:line="500" w:lineRule="exact"/>
              <w:rPr>
                <w:rFonts w:ascii="Times New Roman" w:hAnsi="Times New Roman" w:cs="Times New Roman"/>
                <w:szCs w:val="21"/>
              </w:rPr>
            </w:pPr>
            <w:r>
              <w:rPr>
                <w:rFonts w:ascii="Times New Roman" w:hAnsi="Times New Roman" w:eastAsia="仿宋_GB2312" w:cs="Times New Roman"/>
                <w:color w:val="000000"/>
                <w:sz w:val="28"/>
                <w:szCs w:val="28"/>
              </w:rPr>
              <w:t>（10分）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1.辖区室内公共场所、工作场所和公共交通工具设置禁止吸烟警语和标识。</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辖区100%的室内公共场所和工作场所设置禁止吸烟警语和标识，3分；95%-100%,1分；95%以下不得分。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县爱卫服务中心、各成员单位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2.禁止烟草广告。</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（1）辖区有禁止烟草广告的政策文件，0.5分。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（2）辖区未发现烟草广告，0.5分。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3.建设无烟党政机关、无烟医疗卫生计生机构、无烟学校。</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（1）覆盖率均达100%，2分；低于100%不得分。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（2）抽查发现1个单位不合格，不得分。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县爱卫服务中心（机关）、县直各部门（机关）、各</w:t>
            </w:r>
            <w:r>
              <w:rPr>
                <w:rFonts w:hint="eastAsia" w:ascii="Times New Roman" w:hAnsi="Times New Roman" w:eastAsia="仿宋_GB2312" w:cs="Times New Roman"/>
                <w:color w:val="000000"/>
                <w:sz w:val="28"/>
                <w:szCs w:val="28"/>
              </w:rPr>
              <w:t>乡镇街道</w:t>
            </w:r>
            <w:r>
              <w:rPr>
                <w:rFonts w:ascii="Times New Roman" w:hAnsi="Times New Roman" w:eastAsia="仿宋_GB2312" w:cs="Times New Roman"/>
                <w:color w:val="000000"/>
                <w:sz w:val="28"/>
                <w:szCs w:val="28"/>
              </w:rPr>
              <w:t>（机关）、县卫健局（医院）、县教体局（学校）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4.辖区各级医疗机构开展简短戒烟服务培训，二级及以上医疗机构提供简短戒烟服务。</w:t>
            </w:r>
          </w:p>
        </w:tc>
        <w:tc>
          <w:tcPr>
            <w:tcW w:w="2993" w:type="dxa"/>
            <w:noWrap/>
            <w:vAlign w:val="center"/>
          </w:tcPr>
          <w:p>
            <w:pPr>
              <w:spacing w:line="500" w:lineRule="exact"/>
              <w:rPr>
                <w:rFonts w:hint="eastAsia"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（1）</w:t>
            </w:r>
            <w:r>
              <w:rPr>
                <w:rFonts w:ascii="Times New Roman" w:hAnsi="Times New Roman" w:eastAsia="仿宋_GB2312" w:cs="Times New Roman"/>
                <w:color w:val="000000"/>
                <w:sz w:val="28"/>
                <w:szCs w:val="28"/>
              </w:rPr>
              <w:t>开展简短戒烟服务培训的医疗机构比例≥80%，1分；80%以下不得分。</w:t>
            </w:r>
          </w:p>
          <w:p>
            <w:p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（2）</w:t>
            </w:r>
            <w:r>
              <w:rPr>
                <w:rFonts w:ascii="Times New Roman" w:hAnsi="Times New Roman" w:eastAsia="仿宋_GB2312" w:cs="Times New Roman"/>
                <w:color w:val="000000"/>
                <w:sz w:val="28"/>
                <w:szCs w:val="28"/>
              </w:rPr>
              <w:t>提供简短戒烟服务的医疗机构比例100%，1分；100%以下不得分。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医疗机构包括辖区驻地的一、二、三级医疗机构和妇幼保健院。</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5.降低辖区15岁以上成年人吸烟率。</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（1）</w:t>
            </w:r>
            <w:r>
              <w:rPr>
                <w:rFonts w:ascii="Times New Roman" w:hAnsi="Times New Roman" w:eastAsia="仿宋_GB2312" w:cs="Times New Roman"/>
                <w:color w:val="000000"/>
                <w:sz w:val="28"/>
                <w:szCs w:val="28"/>
              </w:rPr>
              <w:t>15岁以上成人吸烟率低于22%，2分。</w:t>
            </w:r>
            <w:r>
              <w:rPr>
                <w:rFonts w:ascii="Times New Roman" w:hAnsi="Times New Roman" w:eastAsia="仿宋_GB2312" w:cs="Times New Roman"/>
                <w:color w:val="000000"/>
                <w:sz w:val="28"/>
                <w:szCs w:val="28"/>
              </w:rPr>
              <w:br w:type="textWrapping"/>
            </w:r>
            <w:r>
              <w:rPr>
                <w:rFonts w:hint="eastAsia" w:ascii="Times New Roman" w:hAnsi="Times New Roman" w:eastAsia="仿宋_GB2312" w:cs="Times New Roman"/>
                <w:color w:val="000000"/>
                <w:sz w:val="28"/>
                <w:szCs w:val="28"/>
              </w:rPr>
              <w:t>（2）</w:t>
            </w:r>
            <w:r>
              <w:rPr>
                <w:rFonts w:ascii="Times New Roman" w:hAnsi="Times New Roman" w:eastAsia="仿宋_GB2312" w:cs="Times New Roman"/>
                <w:color w:val="000000"/>
                <w:sz w:val="28"/>
                <w:szCs w:val="28"/>
              </w:rPr>
              <w:t>复审：15岁以上成人吸烟率逐年下降，5年降低10%；5年降低未达到10%不得分。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县爱卫服务</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三、体系整合</w:t>
            </w:r>
          </w:p>
          <w:p>
            <w:pPr>
              <w:spacing w:line="500" w:lineRule="exact"/>
              <w:rPr>
                <w:rFonts w:ascii="Times New Roman" w:hAnsi="Times New Roman" w:cs="Times New Roman"/>
                <w:szCs w:val="21"/>
              </w:rPr>
            </w:pPr>
            <w:r>
              <w:rPr>
                <w:rFonts w:ascii="Times New Roman" w:hAnsi="Times New Roman" w:eastAsia="仿宋_GB2312" w:cs="Times New Roman"/>
                <w:color w:val="000000"/>
                <w:sz w:val="28"/>
                <w:szCs w:val="28"/>
              </w:rPr>
              <w:t>（30分）</w:t>
            </w: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（一）建立防治结合、分工协作、优势互补、上下联动的慢性病综合防治体系。</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1.建立完善慢性病防控服务体系和分工明确、上下联动的工作机制。</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（1）辖区卫生健康行政部门制订实施慢性病防控服务体系建设的方案，4分。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（2）明确专业公共卫生机构、医院和基层医疗卫生机构职责，4分。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2.建立完善信息共享、互联互通等的工作机制，推进慢性病防、治、管的整合。</w:t>
            </w:r>
          </w:p>
        </w:tc>
        <w:tc>
          <w:tcPr>
            <w:tcW w:w="2993" w:type="dxa"/>
            <w:noWrap/>
            <w:vAlign w:val="center"/>
          </w:tcPr>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（1）卫生健康行政部门负责督导慢性病防控服务体系的有效运行，2分。</w:t>
            </w:r>
          </w:p>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（2）建立完善慢性病防控服务体系的运行、质控、绩效评价机制，2分。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（3）辖区开展医联体、医共体等建设，将慢性病防控作为县域医联体、医共体的重点内容。疾控、医院对基层医疗卫生机构进行的技术指导，建立有效的协作机制，2分。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（4）疾控机构指导乡镇（街道）对辖区居民电子健康档案及健康相关信息、干预效果进行分析评估，提供优化策略，1分。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jc w:val="lef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（二）</w:t>
            </w:r>
            <w:r>
              <w:rPr>
                <w:rFonts w:ascii="Times New Roman" w:hAnsi="Times New Roman" w:eastAsia="仿宋_GB2312" w:cs="Times New Roman"/>
                <w:color w:val="000000"/>
                <w:sz w:val="28"/>
                <w:szCs w:val="28"/>
              </w:rPr>
              <w:t>加强慢性病防控队伍建设。</w:t>
            </w:r>
          </w:p>
          <w:p>
            <w:pPr>
              <w:spacing w:line="500" w:lineRule="exact"/>
              <w:jc w:val="left"/>
              <w:rPr>
                <w:rFonts w:ascii="Times New Roman" w:hAnsi="Times New Roman" w:cs="Times New Roman"/>
                <w:szCs w:val="21"/>
              </w:rPr>
            </w:pPr>
            <w:r>
              <w:rPr>
                <w:rFonts w:ascii="Times New Roman" w:hAnsi="Times New Roman" w:eastAsia="仿宋_GB2312" w:cs="Times New Roman"/>
                <w:color w:val="000000"/>
                <w:sz w:val="28"/>
                <w:szCs w:val="28"/>
              </w:rPr>
              <w:t>（15分）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1.辖区疾病预防控制机构按职能有独立的慢性病防控科室，配备专职人员。</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（1）疾病预防控制机构有独立的慢性病防控科室，2分。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（2）专职人员占本机构专业人员总数的比例≥10%，2分；5-10%，1分；低于5%不得分。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（3）每年接受上级专业培训不少于2次，1分。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2.二级以上医院设立公共卫生科，配备公共卫生专业人员，履行相应的公共卫生职责。</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（1）二级以上医院设立公共卫生科，1分；有承担疾病预防控制工作的部门，1分。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（2）二级以上医院有专职的公共卫生人员承担慢性病防控工作，1分。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（3）二级以上医院每年组织对辖区基层医疗机构的慢病专业培训不少于2次且基层慢性病防治人员培训率达90%以上，2分；培训率80-90%，1分，低于80%不得分。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3.基层医疗卫生机构加强公共卫生服务能力建设，承担所在区域慢性病防控工作。</w:t>
            </w:r>
          </w:p>
        </w:tc>
        <w:tc>
          <w:tcPr>
            <w:tcW w:w="2993" w:type="dxa"/>
            <w:noWrap/>
            <w:vAlign w:val="center"/>
          </w:tcPr>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（1）基层医疗机构设有单独的科室负责慢性病防控工作，1分。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（2）基层医疗机构有专职人员承担慢性病防控工作，2分。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（3）基层医疗机构每年接受上级培训不少于2次，1分。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（4）基层医疗机构每年组织对村医或社区卫生服务站医护人员的培训不少于2次且培训率达到90%以上，1分。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四、健康教育与健康促进</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（28分）</w:t>
            </w: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（一）通过多种渠道积极开展慢性病防治全民健康教育。</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（10分）</w:t>
            </w: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1.广泛开展健康教育，定期传播慢性病防治和健康素养知识和技能。</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利用社会主流媒体和互联网等新媒体广泛开展慢性病防治和健康教育，每月不少于2次，2分。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县融媒体中心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2.开展社会性大型健康日活动，扩大传播慢性病防治和慢病健康素养知识和技能的范围。</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辖区每年至少开展4次健康主题日大型宣传活动，应包括肿瘤宣传周、全国高血压日、世界糖尿病日、全民健康生活方式日、爱牙日、世界脑卒中日等，2分。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大型活动是指参与人数超过300人(含分会场)。</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3.各社区设有健康教育宣传阵地，向居民普及慢性病防控的知识与技能。</w:t>
            </w:r>
          </w:p>
        </w:tc>
        <w:tc>
          <w:tcPr>
            <w:tcW w:w="2993" w:type="dxa"/>
            <w:noWrap/>
            <w:vAlign w:val="center"/>
          </w:tcPr>
          <w:p>
            <w:pPr>
              <w:spacing w:line="500" w:lineRule="exact"/>
              <w:rPr>
                <w:rFonts w:ascii="Times New Roman" w:hAnsi="Times New Roman" w:eastAsia="仿宋_GB2312" w:cs="Times New Roman"/>
                <w:color w:val="000000"/>
                <w:sz w:val="28"/>
                <w:szCs w:val="28"/>
              </w:rPr>
            </w:pPr>
          </w:p>
          <w:p>
            <w:pPr>
              <w:numPr>
                <w:ilvl w:val="0"/>
                <w:numId w:val="0"/>
              </w:numPr>
              <w:spacing w:line="500" w:lineRule="exact"/>
              <w:rPr>
                <w:rFonts w:hint="eastAsia" w:ascii="Times New Roman" w:hAnsi="Times New Roman" w:eastAsia="仿宋_GB2312" w:cs="Times New Roman"/>
                <w:color w:val="000000"/>
                <w:sz w:val="28"/>
                <w:szCs w:val="28"/>
                <w:lang w:eastAsia="zh-CN"/>
              </w:rPr>
            </w:pPr>
          </w:p>
          <w:p>
            <w:pPr>
              <w:numPr>
                <w:ilvl w:val="0"/>
                <w:numId w:val="0"/>
              </w:num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lang w:eastAsia="zh-CN"/>
              </w:rPr>
              <w:t>（</w:t>
            </w:r>
            <w:r>
              <w:rPr>
                <w:rFonts w:hint="eastAsia" w:ascii="Times New Roman" w:hAnsi="Times New Roman" w:eastAsia="仿宋_GB2312" w:cs="Times New Roman"/>
                <w:color w:val="000000"/>
                <w:sz w:val="28"/>
                <w:szCs w:val="28"/>
                <w:lang w:val="en-US" w:eastAsia="zh-CN"/>
              </w:rPr>
              <w:t>1）</w:t>
            </w:r>
            <w:r>
              <w:rPr>
                <w:rFonts w:ascii="Times New Roman" w:hAnsi="Times New Roman" w:eastAsia="仿宋_GB2312" w:cs="Times New Roman"/>
                <w:color w:val="000000"/>
                <w:sz w:val="28"/>
                <w:szCs w:val="28"/>
              </w:rPr>
              <w:t>健康教育活动室在当地社区的覆盖率达85%，1分。</w:t>
            </w:r>
            <w:r>
              <w:rPr>
                <w:rFonts w:ascii="Times New Roman" w:hAnsi="Times New Roman" w:eastAsia="仿宋_GB2312" w:cs="Times New Roman"/>
                <w:color w:val="000000"/>
                <w:sz w:val="28"/>
                <w:szCs w:val="28"/>
              </w:rPr>
              <w:br w:type="textWrapping"/>
            </w:r>
          </w:p>
          <w:p>
            <w:pPr>
              <w:numPr>
                <w:ilvl w:val="0"/>
                <w:numId w:val="0"/>
              </w:num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（2）健康宣传栏社区覆盖率≥90%，内容至少2个月更新1次，1分。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（3）社区健康讲座每年≥4次，每次不少于50人，1分。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w:t>
            </w:r>
          </w:p>
          <w:p>
            <w:pPr>
              <w:spacing w:line="500" w:lineRule="exact"/>
              <w:jc w:val="center"/>
              <w:rPr>
                <w:rFonts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4.开展幼儿园、中小学校健康行为方式教育。</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（1）幼儿园、中小学校开设健康教育课覆盖率达100%，1分。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（2）健康教育课包括营养均衡、口腔保健、健康体重、视力保护等内容，每学期以班级为单位，课程≥6学时，2分；低于6学时不得分。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（二）提高居民重点慢性病核心知识知晓率和居民健康素养水平。</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1.提高居民重点慢性病核心知识知晓率。</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居民重点慢性病核心知识知晓率≥60%，6分；50-60%，4分；低于50%不得分。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2.提高居民健康素养水平。</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居民健康素养水平达到20%或高于全省平均水平，4分；15-20%，3分；15%以下不得分。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（三）发挥社会团体和群众组织在慢性病防控中的积极作用。</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1.辖区开展群众性健身运动。</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（1）有5个及以上的群众健身团体，1分。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（2）配有体育指导员和志愿者，社会体育指导员数量占总人口的2.3‰以上，1分。达不到不得分。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复审：成立1个以上群众健身团队的社区（村）的比例达到60%以上，1分，不足60%不得分。配有体育指导员和志愿者，社会体育指导员数量占总人口的2.3‰以上，1分。达不到不得分。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县文化旅游局、县体育发展服务中心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2.每年至少开展1次多部门组织的集体性健身活动。</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定期开展政府支持、企事业单位承担参与并积极支持的健身活动，每年≥1次，2分；未开展不得分。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县体育发展服务中心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0"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3.鼓励社区慢性病患者积极参与社区自我健康管理活动。</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有自我健康管理小组并规范开展的社区覆盖率达到50%，4分；40-50%，2分；40%以下不得分。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五、慢性病全程管理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（87分）</w:t>
            </w: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（一）规范健康体检，开展高危人群筛查与干预，加强癌症、心脑血管疾病等重大慢性病的早期发现与管理。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（21分）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1.开展学生、老年人等重点人群和职工定期健康体检和健康指导。</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（1）</w:t>
            </w:r>
            <w:r>
              <w:rPr>
                <w:rFonts w:ascii="Times New Roman" w:hAnsi="Times New Roman" w:eastAsia="仿宋_GB2312" w:cs="Times New Roman"/>
                <w:color w:val="000000"/>
                <w:sz w:val="28"/>
                <w:szCs w:val="28"/>
              </w:rPr>
              <w:t>学生健康体检率≥90%，2分；80-90%，1分；80%以下不得分。</w:t>
            </w:r>
            <w:r>
              <w:rPr>
                <w:rFonts w:ascii="Times New Roman" w:hAnsi="Times New Roman" w:eastAsia="仿宋_GB2312" w:cs="Times New Roman"/>
                <w:color w:val="000000"/>
                <w:sz w:val="28"/>
                <w:szCs w:val="28"/>
              </w:rPr>
              <w:br w:type="textWrapping"/>
            </w:r>
            <w:r>
              <w:rPr>
                <w:rFonts w:hint="eastAsia" w:ascii="Times New Roman" w:hAnsi="Times New Roman" w:eastAsia="仿宋_GB2312" w:cs="Times New Roman"/>
                <w:color w:val="000000"/>
                <w:sz w:val="28"/>
                <w:szCs w:val="28"/>
              </w:rPr>
              <w:t>（2）</w:t>
            </w:r>
            <w:r>
              <w:rPr>
                <w:rFonts w:ascii="Times New Roman" w:hAnsi="Times New Roman" w:eastAsia="仿宋_GB2312" w:cs="Times New Roman"/>
                <w:color w:val="000000"/>
                <w:sz w:val="28"/>
                <w:szCs w:val="28"/>
              </w:rPr>
              <w:t>65岁及以上老年人健康体检率≥90%，2分；80-90%，1分；80%以下不得分。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（3）每2年1次体检并开展健康指导的机关事业单位和员工数超过50人的企业的比例≥50%，3分；40-50%，2分；40%以下不得分。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县总工会（职工）、县教体局（学生）、县卫健局（老年人）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2.应用推广成熟的适宜技术，早期发现诊治患者，及时纳入基本公共卫生服务管理。</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（1）医疗机构18岁以上就诊者首诊测血压率≥90%，0.7分；低于90%不得分。二级以上综合医疗机构和专科医院开展脑卒中、冠心病和恶性肿瘤的机会性筛查，每项0.5分。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（2）医疗机构开展肥胖与超重人群筛查，为有需要的居民提供维持健康体重的个性化健康指导，开展比例超过85%，1分，低于85%不得分。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（3）开展心脑血管疾病、重点癌症、糖尿病、慢性阻塞性肺病等重大慢性病的筛查和早期诊断，每项1.2分，满分4.8分。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（4）具备血糖、血脂、简易肺功能测定和大便隐血检测等4种技术并提供服务的社区卫生服务中心和乡镇卫生院的比例≥50%，2分；40-50%，1分；低于40%不得分。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（5）提高加强个人健康档案与健康体检信息的利用，发现血压偏高、糖尿病前期和血脂异常高危人群登记率≥100%，2分；高危人群纳入健康管理率≥30%，2分。</w:t>
            </w:r>
          </w:p>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w:t>
            </w:r>
          </w:p>
          <w:p>
            <w:pPr>
              <w:spacing w:line="500" w:lineRule="exact"/>
              <w:jc w:val="center"/>
              <w:rPr>
                <w:rFonts w:ascii="Times New Roman" w:hAnsi="Times New Roman" w:eastAsia="仿宋_GB2312" w:cs="Times New Roman"/>
                <w:color w:val="000000"/>
                <w:sz w:val="28"/>
                <w:szCs w:val="28"/>
              </w:rPr>
            </w:pP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（二）建立分级诊疗制度，推进家庭医生签约服务，开展高血压、糖尿病等重点慢性病规范化管理。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（24分）</w:t>
            </w: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1.开展基层首诊、双向转诊、急慢分治、上下联动的慢性病分级诊疗服务。</w:t>
            </w:r>
          </w:p>
        </w:tc>
        <w:tc>
          <w:tcPr>
            <w:tcW w:w="2993" w:type="dxa"/>
            <w:noWrap/>
            <w:vAlign w:val="center"/>
          </w:tcPr>
          <w:p>
            <w:pPr>
              <w:numPr>
                <w:ilvl w:val="0"/>
                <w:numId w:val="0"/>
              </w:numPr>
              <w:spacing w:line="500" w:lineRule="exact"/>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lang w:eastAsia="zh-CN"/>
              </w:rPr>
              <w:t>（</w:t>
            </w:r>
            <w:r>
              <w:rPr>
                <w:rFonts w:hint="eastAsia" w:ascii="Times New Roman" w:hAnsi="Times New Roman" w:eastAsia="仿宋_GB2312" w:cs="Times New Roman"/>
                <w:color w:val="000000"/>
                <w:sz w:val="28"/>
                <w:szCs w:val="28"/>
                <w:lang w:val="en-US" w:eastAsia="zh-CN"/>
              </w:rPr>
              <w:t>1）</w:t>
            </w:r>
            <w:r>
              <w:rPr>
                <w:rFonts w:ascii="Times New Roman" w:hAnsi="Times New Roman" w:eastAsia="仿宋_GB2312" w:cs="Times New Roman"/>
                <w:color w:val="000000"/>
                <w:sz w:val="28"/>
                <w:szCs w:val="28"/>
              </w:rPr>
              <w:t>建立分级诊疗制度，1分。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（2）落实并开展高血压与糖尿病基层首诊、双向转诊、急慢分治、上下联动的分级诊疗服务，基层医疗机构门诊量占比≥50%，3分。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（3）依托信息平台实现分级诊疗，2分。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2.实施高血压达标行动，推进家庭医生签约服务，签约团队负责提供约定的基本医疗、公共卫生和健康管理服务。</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（1）家庭医生签约服务覆盖率≥本省平均水平30%，3分； 25-30%，2分；15-25%，１分；低于15%不得分。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（2）执行标准化诊疗方案的基层医疗卫生机构达到80%以上，得3分，60-80%，2分；50-60%，１分；低于50%不得分。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3.提高18岁以上人群高血压、糖尿病知晓率。</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（1）18岁以上高血压知晓率≥60%，2分；40-60%，1分；低于40%不得分。</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（2）18岁以上糖尿病知晓率≥50%，2分；30-50％，1分；低于30%不得分。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4.提高35岁以上人群高血压、糖尿病患者管理率。</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（1）35岁以上高血压患者规范管理率高于全省平均水平5%，2分；高于3-5%，1分；低于3%不得分。</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（2）35岁以上糖尿病患者规范管理率高于全省平均水平5%，2分；高于3-5%，1分；低于3%不得分。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5.提高管理人群高血压、糖尿病患者的控制率。</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（1）高血压患者血压控制率高于全省平均水平5%，2分；高于3-5%，1分；低于3%不得分。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（2）糖尿病患者血糖控制率高于全省平均水平5%，2分；高于3-5%，1分；低于3%不得分。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（三）在重点人群中开展口腔疾病防治。</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（6分）</w:t>
            </w: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 中小学校及托幼机构限制销售高糖饮料和零食。实施儿童窝沟封闭，控制 12 岁儿童患龋率。</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（1）辖区中小学校及托幼机构有限制销售高糖饮料和零食政策和措施，1 分；其余 0分。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（2）辖区内实施儿童窝沟封闭的学校比例≥60%，1.5分；50-60%，1分；低于50%不得分。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（3）辖区12岁儿童患龋率低于25%，1.5分；不达标不得分。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县教体局、县卫健局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2.建立完善口腔健康服务体系。</w:t>
            </w:r>
          </w:p>
        </w:tc>
        <w:tc>
          <w:tcPr>
            <w:tcW w:w="2993" w:type="dxa"/>
            <w:noWra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依托辖区医疗机构建立口腔疾病防治指导中心，2 分；未建立，不得分。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（四）完善区域信息平台，实现医疗卫生机构间互联互通、协同应用。</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★1.建立区域卫生信息平台，实现公共卫生服务、诊疗信息互联互通、协同应用。</w:t>
            </w:r>
          </w:p>
        </w:tc>
        <w:tc>
          <w:tcPr>
            <w:tcW w:w="2993" w:type="dxa"/>
            <w:noWrap/>
            <w:vAlign w:val="center"/>
          </w:tcPr>
          <w:p>
            <w:pPr>
              <w:spacing w:line="500" w:lineRule="exact"/>
              <w:rPr>
                <w:rFonts w:ascii="Times New Roman" w:hAnsi="Times New Roman" w:eastAsia="仿宋_GB2312" w:cs="Times New Roman"/>
                <w:color w:val="000000"/>
                <w:sz w:val="28"/>
                <w:szCs w:val="28"/>
              </w:rPr>
            </w:pP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（1）建立县级全民健康信息平台，或基于市平台建设虚拟平台，2分。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（2）建设全县统一的基层卫生健康信息综合管理系统，2分。</w:t>
            </w:r>
            <w:r>
              <w:rPr>
                <w:rFonts w:ascii="Times New Roman" w:hAnsi="Times New Roman" w:eastAsia="仿宋_GB2312" w:cs="Times New Roman"/>
                <w:color w:val="000000"/>
                <w:sz w:val="28"/>
                <w:szCs w:val="28"/>
              </w:rPr>
              <w:br w:type="textWrapping"/>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（3）专业公共卫生机构、二级及以上医院和基层医疗卫生机构之间实现互联互通和信息共享，3分。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（4）实现电子健康档案和电子病历的连续记录和信息共享，3分。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p>
            <w:pPr>
              <w:spacing w:line="500" w:lineRule="exact"/>
              <w:jc w:val="center"/>
              <w:rPr>
                <w:rFonts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jc w:val="left"/>
              <w:rPr>
                <w:rFonts w:ascii="Times New Roman" w:hAnsi="Times New Roman" w:cs="Times New Roman"/>
                <w:szCs w:val="21"/>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2.应用互联网+、健康大数据提供便捷、高效的健康管理服务。</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（1）应用“互联网+”技术为签约服务的患者提供健康管理和诊疗服务，2分。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（2）全县普遍应用电子健康卡，3分。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p>
            <w:pPr>
              <w:spacing w:line="500" w:lineRule="exact"/>
              <w:jc w:val="center"/>
              <w:rPr>
                <w:rFonts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（五）中西医并重，发挥中医药在慢性病预防、保健、诊疗、康复中的作用。</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1.辖区各社区卫生服务中心、乡镇卫生院有中医综合服务区。</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设有中医综合服务区的社区卫生服务中心、乡镇卫生院比例达100%，3分，不达标不得分。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2.开展中医药养生保健知识的宣传及中医适宜技术推广。</w:t>
            </w:r>
          </w:p>
        </w:tc>
        <w:tc>
          <w:tcPr>
            <w:tcW w:w="2993"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（1）宣传中医药养生保健知识，2分。</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（2）推广中医适宜技术，2分。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（六）做好基本医疗保险、城乡居民大病保险和医疗救助重大疾病保障的衔接，保障药品供应。</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（7分）</w:t>
            </w: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1.做好基本医疗保险、城乡居民大病保险和医疗救助重大疾病保障。</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（1）落实基本医疗保险、大病保险和医疗救助重大疾病保障等相关政策，2分。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（2）提高签约患者的医疗保障水平和残疾人、流动人口、低收入等人群医疗救助水平的具体措施，2分。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县医保局、县民政局、县残联、</w:t>
            </w:r>
          </w:p>
          <w:p>
            <w:pPr>
              <w:spacing w:line="50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县</w:t>
            </w:r>
            <w:r>
              <w:rPr>
                <w:rFonts w:ascii="Times New Roman" w:hAnsi="Times New Roman" w:eastAsia="仿宋_GB2312" w:cs="Times New Roman"/>
                <w:color w:val="000000"/>
                <w:sz w:val="28"/>
                <w:szCs w:val="28"/>
              </w:rPr>
              <w:t>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330" w:type="dxa"/>
            <w:vMerge w:val="continue"/>
            <w:noWrap/>
            <w:vAlign w:val="center"/>
          </w:tcPr>
          <w:p>
            <w:pPr>
              <w:spacing w:line="500" w:lineRule="exact"/>
              <w:rPr>
                <w:rFonts w:ascii="Times New Roman" w:hAnsi="Times New Roman" w:cs="Times New Roman"/>
              </w:rPr>
            </w:pPr>
          </w:p>
        </w:tc>
        <w:tc>
          <w:tcPr>
            <w:tcW w:w="1305" w:type="dxa"/>
            <w:vMerge w:val="continue"/>
            <w:noWrap/>
            <w:vAlign w:val="center"/>
          </w:tcPr>
          <w:p>
            <w:pPr>
              <w:spacing w:line="500" w:lineRule="exact"/>
              <w:jc w:val="left"/>
              <w:rPr>
                <w:rFonts w:ascii="Times New Roman" w:hAnsi="Times New Roman" w:cs="Times New Roman"/>
              </w:rPr>
            </w:pPr>
          </w:p>
        </w:tc>
        <w:tc>
          <w:tcPr>
            <w:tcW w:w="1927"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2.基层医疗卫生机构配备国家或省相关指南、推荐方案建议的高血压、糖尿病等重点慢性病治疗药品，优先使用基本药物。</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（1）全部配备国家或省相关指南方案推荐药品种类的基层医疗卫生机构比例达到80%以上，1 分；不达标不得分。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（2）实施高血压、糖尿病治疗基本药物全额保障，2 分；未实施不得分。</w:t>
            </w:r>
          </w:p>
        </w:tc>
        <w:tc>
          <w:tcPr>
            <w:tcW w:w="847"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50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（七）动员社会力量参与慢性病防控工作，促进医养结合。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（7分）</w:t>
            </w:r>
          </w:p>
        </w:tc>
        <w:tc>
          <w:tcPr>
            <w:tcW w:w="1927"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1.政府引导、市场驱动、社会力量参与，为慢性病患者提供健康管理服务。</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（1）有效引进社会资本参与慢性病防控，1分。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（2）商业健康保险参与医疗救助，1分。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（3）通过向社会力量购买服务的方式，为慢性病患者提供健康管理服务，2分。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县医保局、县卫健局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480" w:lineRule="exact"/>
              <w:rPr>
                <w:rFonts w:ascii="Times New Roman" w:hAnsi="Times New Roman" w:eastAsia="仿宋_GB2312" w:cs="Times New Roman"/>
                <w:color w:val="000000"/>
                <w:sz w:val="28"/>
                <w:szCs w:val="28"/>
              </w:rPr>
            </w:pP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2.促进慢性病全程防治管理服务与居家养老、社区养老和机构养老服务融合。</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医疗机构向居家养老、社区养老与机构养老的老年人提供医养结合的健康养老服务覆盖比例≥80%,2分；60-80%，1分；低于60%不得分。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县民政局、</w:t>
            </w:r>
            <w:r>
              <w:rPr>
                <w:rFonts w:ascii="Times New Roman" w:hAnsi="Times New Roman" w:eastAsia="仿宋_GB2312" w:cs="Times New Roman"/>
                <w:sz w:val="28"/>
                <w:szCs w:val="28"/>
              </w:rPr>
              <w:t>各</w:t>
            </w:r>
            <w:r>
              <w:rPr>
                <w:rFonts w:hint="eastAsia" w:ascii="Times New Roman" w:hAnsi="Times New Roman" w:eastAsia="仿宋_GB2312" w:cs="Times New Roman"/>
                <w:sz w:val="28"/>
                <w:szCs w:val="28"/>
              </w:rPr>
              <w:t>乡镇街道</w:t>
            </w:r>
            <w:r>
              <w:rPr>
                <w:rFonts w:ascii="Times New Roman" w:hAnsi="Times New Roman" w:eastAsia="仿宋_GB2312" w:cs="Times New Roman"/>
                <w:sz w:val="28"/>
                <w:szCs w:val="28"/>
              </w:rPr>
              <w:t>（社区、村）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0" w:type="dxa"/>
            <w:vMerge w:val="restart"/>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六、监测评估</w:t>
            </w:r>
          </w:p>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（30分）</w:t>
            </w:r>
          </w:p>
        </w:tc>
        <w:tc>
          <w:tcPr>
            <w:tcW w:w="1305" w:type="dxa"/>
            <w:vMerge w:val="restart"/>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（一）开展过程质量控制和重点慢性病监测工作。</w:t>
            </w:r>
          </w:p>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（15分）</w:t>
            </w: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1.规范开展覆盖辖区慢性病及相关危险因素监测，掌握辖区重点慢性病状况、影响因素和疾病负担。</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全人群的死因监测、慢病与营养监测、心脑血管疾病、肿瘤、慢阻肺等重点慢性病登记报告达到基本技术指标，向政府及有关部门提交监测报告。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（1）死因监测，2分；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（2）每5年1次慢病与营养监测，2分；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（3）心脑血管疾病报告，2分；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（4）肿瘤随访登记，2分；</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rPr>
              <w:t>（5）慢阻肺监测，2分；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（6）</w:t>
            </w:r>
            <w:r>
              <w:rPr>
                <w:rFonts w:ascii="Times New Roman" w:hAnsi="Times New Roman" w:eastAsia="仿宋_GB2312" w:cs="Times New Roman"/>
                <w:color w:val="000000"/>
                <w:sz w:val="28"/>
                <w:szCs w:val="28"/>
              </w:rPr>
              <w:t>住院伤害监测，1分。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1330"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305" w:type="dxa"/>
            <w:vMerge w:val="continue"/>
            <w:noWrap/>
            <w:vAlign w:val="center"/>
          </w:tcPr>
          <w:p>
            <w:pPr>
              <w:spacing w:line="480" w:lineRule="exact"/>
              <w:rPr>
                <w:rFonts w:ascii="Times New Roman" w:hAnsi="Times New Roman" w:eastAsia="仿宋_GB2312" w:cs="Times New Roman"/>
                <w:color w:val="000000"/>
                <w:sz w:val="28"/>
                <w:szCs w:val="28"/>
              </w:rPr>
            </w:pP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2.慢性病监测数据互联互通。</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利用慢病监测信息管理系统，实现辖区县级以上医疗机构慢病监测数据与省级慢病监测平台实现自动推送，做到重点慢性病监测数据互联互通，4分；其余0分。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w:t>
            </w:r>
          </w:p>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5"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（二）开展慢性病防控社会因素调查，定期发布调查结果。</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（15分）</w:t>
            </w: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★1.辖区每5年开展一次慢性病防控社会因素调查。</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（1）规范制定慢性病防控社会因素调查方案，1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（2）综合运用社会学、流行病学及管理学理论与方法开展社会因素调查，完成调查报告，2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（3）报告信息来源权威、准确、多元、综合，报告结构完整，有背景、方法、现状与主要问题、资源分析、预期目标、主要对策与具体措施等内容，2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（4）报告调查结果清晰、调查依据正确、对策合乎逻辑、目标设定科学、措施设计得当，2 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（5）报告结果用于反馈示范区建设及慢性病综合防控工作，2 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县卫健局、县公安局、县统计局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1330" w:type="dxa"/>
            <w:vMerge w:val="continue"/>
            <w:noWrap/>
            <w:vAlign w:val="center"/>
          </w:tcPr>
          <w:p>
            <w:pPr>
              <w:spacing w:line="500" w:lineRule="exact"/>
              <w:rPr>
                <w:rFonts w:ascii="Times New Roman" w:hAnsi="Times New Roman" w:cs="Times New Roman"/>
                <w:szCs w:val="21"/>
              </w:rPr>
            </w:pPr>
          </w:p>
        </w:tc>
        <w:tc>
          <w:tcPr>
            <w:tcW w:w="1305" w:type="dxa"/>
            <w:vMerge w:val="continue"/>
            <w:noWrap/>
            <w:vAlign w:val="center"/>
          </w:tcPr>
          <w:p>
            <w:pPr>
              <w:spacing w:line="480" w:lineRule="exact"/>
              <w:rPr>
                <w:rFonts w:ascii="Times New Roman" w:hAnsi="Times New Roman" w:eastAsia="仿宋_GB2312" w:cs="Times New Roman"/>
                <w:color w:val="000000"/>
                <w:sz w:val="28"/>
                <w:szCs w:val="28"/>
              </w:rPr>
            </w:pPr>
          </w:p>
        </w:tc>
        <w:tc>
          <w:tcPr>
            <w:tcW w:w="1927"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★2.辖区政府发布人群慢性病防控有关健康信息。</w:t>
            </w:r>
          </w:p>
        </w:tc>
        <w:tc>
          <w:tcPr>
            <w:tcW w:w="2993"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（1）辖区政府每5年发布含慢性病防控内容的综合健康报告，3分。</w:t>
            </w:r>
          </w:p>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（2）综合健康报告主要结果用于政府工作报告，3分。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1084" w:type="dxa"/>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政府办公室</w:t>
            </w:r>
            <w:r>
              <w:rPr>
                <w:rFonts w:ascii="Times New Roman" w:hAnsi="Times New Roman" w:eastAsia="仿宋_GB2312" w:cs="Times New Roman"/>
                <w:color w:val="000000"/>
                <w:sz w:val="28"/>
                <w:szCs w:val="28"/>
              </w:rPr>
              <w:t>、县卫健局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0" w:hRule="atLeast"/>
        </w:trPr>
        <w:tc>
          <w:tcPr>
            <w:tcW w:w="1330" w:type="dxa"/>
            <w:vMerge w:val="restart"/>
            <w:noWrap/>
            <w:vAlign w:val="center"/>
          </w:tcPr>
          <w:p>
            <w:pPr>
              <w:spacing w:line="500" w:lineRule="exac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七、创新引领</w:t>
            </w:r>
          </w:p>
          <w:p>
            <w:pPr>
              <w:spacing w:line="500" w:lineRule="exact"/>
              <w:rPr>
                <w:rFonts w:ascii="Times New Roman" w:hAnsi="Times New Roman" w:cs="Times New Roman"/>
                <w:szCs w:val="21"/>
              </w:rPr>
            </w:pPr>
            <w:r>
              <w:rPr>
                <w:rFonts w:hint="eastAsia" w:ascii="仿宋_GB2312" w:hAnsi="仿宋_GB2312" w:eastAsia="仿宋_GB2312" w:cs="仿宋_GB2312"/>
                <w:color w:val="000000"/>
                <w:sz w:val="28"/>
                <w:szCs w:val="28"/>
              </w:rPr>
              <w:t>（30分）</w:t>
            </w:r>
          </w:p>
        </w:tc>
        <w:tc>
          <w:tcPr>
            <w:tcW w:w="1305" w:type="dxa"/>
            <w:vMerge w:val="restart"/>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慢性病综合防控工作有特色、可复制、可推广。</w:t>
            </w:r>
          </w:p>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（30分）</w:t>
            </w:r>
          </w:p>
        </w:tc>
        <w:tc>
          <w:tcPr>
            <w:tcW w:w="1927"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1.倡导慢性病综合防控工作与当地社会、文化等建设和公共服务、公共产品供给相结合。</w:t>
            </w:r>
          </w:p>
        </w:tc>
        <w:tc>
          <w:tcPr>
            <w:tcW w:w="2993"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慢性病综合防控工作与辖区社区文化建设、健康城市建设、文明创建、公共服务与公共产品等相关项目有机衔接整合，以达到1+1&gt;2的实际效果。建立协同工作机制并有效衔接达3项，10分；1-2项，5分。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w:t>
            </w:r>
          </w:p>
        </w:tc>
        <w:tc>
          <w:tcPr>
            <w:tcW w:w="1084"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政府办公室</w:t>
            </w:r>
            <w:r>
              <w:rPr>
                <w:rFonts w:ascii="Times New Roman" w:hAnsi="Times New Roman" w:eastAsia="仿宋_GB2312" w:cs="Times New Roman"/>
                <w:color w:val="000000"/>
                <w:sz w:val="28"/>
                <w:szCs w:val="28"/>
              </w:rPr>
              <w:t>、县文化旅游局（社区文化建设）、县爱卫服务中心（健康城市建设）、县文明办（文明创建）、</w:t>
            </w:r>
            <w:r>
              <w:rPr>
                <w:rFonts w:hint="eastAsia" w:ascii="Times New Roman" w:hAnsi="Times New Roman" w:eastAsia="仿宋_GB2312" w:cs="Times New Roman"/>
                <w:color w:val="000000"/>
                <w:sz w:val="28"/>
                <w:szCs w:val="28"/>
              </w:rPr>
              <w:t>县</w:t>
            </w:r>
            <w:r>
              <w:rPr>
                <w:rFonts w:hint="eastAsia" w:ascii="Times New Roman" w:hAnsi="Times New Roman" w:eastAsia="仿宋_GB2312" w:cs="Times New Roman"/>
                <w:sz w:val="28"/>
                <w:szCs w:val="28"/>
              </w:rPr>
              <w:t>慢性病综合防控</w:t>
            </w:r>
            <w:r>
              <w:rPr>
                <w:rFonts w:ascii="Times New Roman" w:hAnsi="Times New Roman" w:eastAsia="仿宋_GB2312" w:cs="Times New Roman"/>
                <w:sz w:val="28"/>
                <w:szCs w:val="28"/>
              </w:rPr>
              <w:t>示范区建设工作领导小组</w:t>
            </w:r>
            <w:r>
              <w:rPr>
                <w:rFonts w:hint="eastAsia" w:ascii="Times New Roman" w:hAnsi="Times New Roman" w:eastAsia="仿宋_GB2312" w:cs="Times New Roman"/>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330" w:type="dxa"/>
            <w:vMerge w:val="continue"/>
            <w:noWrap/>
            <w:vAlign w:val="center"/>
          </w:tcPr>
          <w:p>
            <w:pPr>
              <w:spacing w:line="500" w:lineRule="exact"/>
              <w:rPr>
                <w:rFonts w:ascii="Times New Roman" w:hAnsi="Times New Roman" w:cs="Times New Roman"/>
                <w:kern w:val="0"/>
                <w:szCs w:val="21"/>
              </w:rPr>
            </w:pPr>
          </w:p>
        </w:tc>
        <w:tc>
          <w:tcPr>
            <w:tcW w:w="1305" w:type="dxa"/>
            <w:vMerge w:val="continue"/>
            <w:noWrap/>
            <w:vAlign w:val="center"/>
          </w:tcPr>
          <w:p>
            <w:pPr>
              <w:spacing w:line="480" w:lineRule="exact"/>
              <w:jc w:val="center"/>
              <w:rPr>
                <w:rFonts w:ascii="Times New Roman" w:hAnsi="Times New Roman" w:cs="Times New Roman"/>
                <w:kern w:val="0"/>
                <w:szCs w:val="21"/>
              </w:rPr>
            </w:pPr>
          </w:p>
        </w:tc>
        <w:tc>
          <w:tcPr>
            <w:tcW w:w="1927"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★2.总结有创新、特色案例。</w:t>
            </w:r>
          </w:p>
        </w:tc>
        <w:tc>
          <w:tcPr>
            <w:tcW w:w="2993"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创新特色案例达2个，案例撰写符合要求，15分；1个，10分。</w:t>
            </w:r>
          </w:p>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案例撰写不符合要求者酌情扣分。案例撰写要求包括：主题鲜明突出防控重点、技术流程清晰，操作性强，可复制、可推广。</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w:t>
            </w:r>
          </w:p>
        </w:tc>
        <w:tc>
          <w:tcPr>
            <w:tcW w:w="1084" w:type="dxa"/>
            <w:noWrap/>
            <w:vAlign w:val="center"/>
          </w:tcPr>
          <w:p>
            <w:pPr>
              <w:spacing w:line="480" w:lineRule="exact"/>
              <w:jc w:val="both"/>
              <w:rPr>
                <w:rFonts w:ascii="Times New Roman" w:hAnsi="Times New Roman" w:eastAsia="仿宋_GB2312" w:cs="Times New Roman"/>
                <w:color w:val="000000"/>
                <w:sz w:val="28"/>
                <w:szCs w:val="28"/>
              </w:rPr>
            </w:pPr>
            <w:r>
              <w:rPr>
                <w:rFonts w:hint="eastAsia" w:ascii="Times New Roman" w:hAnsi="Times New Roman" w:eastAsia="仿宋_GB2312" w:cs="Times New Roman"/>
                <w:sz w:val="28"/>
                <w:szCs w:val="28"/>
              </w:rPr>
              <w:t>县慢性病</w:t>
            </w:r>
            <w:r>
              <w:rPr>
                <w:rFonts w:ascii="Times New Roman" w:hAnsi="Times New Roman" w:eastAsia="仿宋_GB2312" w:cs="Times New Roman"/>
                <w:sz w:val="28"/>
                <w:szCs w:val="28"/>
              </w:rPr>
              <w:t>综合防控示范区建设工作领导小组</w:t>
            </w:r>
            <w:r>
              <w:rPr>
                <w:rFonts w:hint="eastAsia" w:ascii="Times New Roman" w:hAnsi="Times New Roman" w:eastAsia="仿宋_GB2312" w:cs="Times New Roman"/>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330" w:type="dxa"/>
            <w:vMerge w:val="continue"/>
            <w:noWrap/>
            <w:vAlign w:val="center"/>
          </w:tcPr>
          <w:p>
            <w:pPr>
              <w:spacing w:line="500" w:lineRule="exact"/>
              <w:rPr>
                <w:rFonts w:ascii="Times New Roman" w:hAnsi="Times New Roman" w:eastAsia="仿宋_GB2312" w:cs="Times New Roman"/>
                <w:color w:val="000000"/>
                <w:sz w:val="28"/>
                <w:szCs w:val="28"/>
              </w:rPr>
            </w:pPr>
          </w:p>
        </w:tc>
        <w:tc>
          <w:tcPr>
            <w:tcW w:w="1305" w:type="dxa"/>
            <w:vMerge w:val="continue"/>
            <w:noWrap/>
            <w:vAlign w:val="center"/>
          </w:tcPr>
          <w:p>
            <w:pPr>
              <w:spacing w:line="480" w:lineRule="exact"/>
              <w:rPr>
                <w:rFonts w:ascii="Times New Roman" w:hAnsi="Times New Roman" w:eastAsia="仿宋_GB2312" w:cs="Times New Roman"/>
                <w:color w:val="000000"/>
                <w:sz w:val="28"/>
                <w:szCs w:val="28"/>
              </w:rPr>
            </w:pPr>
          </w:p>
        </w:tc>
        <w:tc>
          <w:tcPr>
            <w:tcW w:w="1927"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3.示范区建设经验做法起到示范引领作用。</w:t>
            </w:r>
          </w:p>
        </w:tc>
        <w:tc>
          <w:tcPr>
            <w:tcW w:w="2993" w:type="dxa"/>
            <w:noWrap/>
            <w:vAlign w:val="center"/>
          </w:tcPr>
          <w:p>
            <w:pPr>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示范区工作经验做法被市级及以上推广2项，5分；1项，2分。</w:t>
            </w: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sz w:val="28"/>
                <w:szCs w:val="28"/>
              </w:rPr>
              <w:t>县慢性病综合防控</w:t>
            </w:r>
            <w:r>
              <w:rPr>
                <w:rFonts w:ascii="Times New Roman" w:hAnsi="Times New Roman" w:eastAsia="仿宋_GB2312" w:cs="Times New Roman"/>
                <w:sz w:val="28"/>
                <w:szCs w:val="28"/>
              </w:rPr>
              <w:t>示范区建设工作领导小组</w:t>
            </w:r>
            <w:r>
              <w:rPr>
                <w:rFonts w:hint="eastAsia" w:ascii="Times New Roman" w:hAnsi="Times New Roman" w:eastAsia="仿宋_GB2312" w:cs="Times New Roman"/>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0" w:type="dxa"/>
            <w:noWrap/>
            <w:vAlign w:val="center"/>
          </w:tcPr>
          <w:p>
            <w:pPr>
              <w:spacing w:line="50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合计</w:t>
            </w:r>
          </w:p>
        </w:tc>
        <w:tc>
          <w:tcPr>
            <w:tcW w:w="1305" w:type="dxa"/>
            <w:noWrap/>
            <w:vAlign w:val="center"/>
          </w:tcPr>
          <w:p>
            <w:pPr>
              <w:spacing w:line="480" w:lineRule="exact"/>
              <w:rPr>
                <w:rFonts w:ascii="Times New Roman" w:hAnsi="Times New Roman" w:eastAsia="仿宋_GB2312" w:cs="Times New Roman"/>
                <w:color w:val="000000"/>
                <w:sz w:val="28"/>
                <w:szCs w:val="28"/>
              </w:rPr>
            </w:pPr>
          </w:p>
        </w:tc>
        <w:tc>
          <w:tcPr>
            <w:tcW w:w="1927" w:type="dxa"/>
            <w:noWrap/>
            <w:vAlign w:val="center"/>
          </w:tcPr>
          <w:p>
            <w:pPr>
              <w:spacing w:line="480" w:lineRule="exact"/>
              <w:rPr>
                <w:rFonts w:ascii="Times New Roman" w:hAnsi="Times New Roman" w:eastAsia="仿宋_GB2312" w:cs="Times New Roman"/>
                <w:color w:val="000000"/>
                <w:sz w:val="28"/>
                <w:szCs w:val="28"/>
              </w:rPr>
            </w:pPr>
          </w:p>
        </w:tc>
        <w:tc>
          <w:tcPr>
            <w:tcW w:w="2993" w:type="dxa"/>
            <w:noWrap/>
            <w:vAlign w:val="center"/>
          </w:tcPr>
          <w:p>
            <w:pPr>
              <w:spacing w:line="480" w:lineRule="exact"/>
              <w:rPr>
                <w:rFonts w:ascii="Times New Roman" w:hAnsi="Times New Roman" w:eastAsia="仿宋_GB2312" w:cs="Times New Roman"/>
                <w:color w:val="000000"/>
                <w:sz w:val="28"/>
                <w:szCs w:val="28"/>
              </w:rPr>
            </w:pPr>
          </w:p>
        </w:tc>
        <w:tc>
          <w:tcPr>
            <w:tcW w:w="847" w:type="dxa"/>
            <w:noWrap/>
            <w:vAlign w:val="center"/>
          </w:tcPr>
          <w:p>
            <w:pPr>
              <w:spacing w:line="48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300</w:t>
            </w:r>
          </w:p>
        </w:tc>
        <w:tc>
          <w:tcPr>
            <w:tcW w:w="1084" w:type="dxa"/>
            <w:noWrap/>
            <w:vAlign w:val="center"/>
          </w:tcPr>
          <w:p>
            <w:pPr>
              <w:spacing w:line="480" w:lineRule="exact"/>
              <w:jc w:val="center"/>
              <w:rPr>
                <w:rFonts w:ascii="Times New Roman" w:hAnsi="Times New Roman" w:eastAsia="仿宋_GB2312" w:cs="Times New Roman"/>
                <w:color w:val="000000"/>
                <w:sz w:val="28"/>
                <w:szCs w:val="28"/>
              </w:rPr>
            </w:pPr>
          </w:p>
        </w:tc>
      </w:tr>
    </w:tbl>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注：“★”标识指标未完成的，不予验收。</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560" w:lineRule="exact"/>
        <w:rPr>
          <w:rFonts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郯城县省级慢性病综合防控示范区建设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部门职责（2019版）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保证省级慢性病综合防控示范区创建工作质量，根据《郯城县创建国家慢性非传染性疾病综合防控示范区实施方案》要求，县慢性病综合防控示范区建设工作领导小组办公室对各成员部门承担的创建任务进一步进行了细化，同时提出如下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一、工作任务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（一）各部门共性指标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慢性病防控融入各部门政策规章制度。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备查资料：各部门包含慢性病综合防控的政策文件，各部门年度计划、总结、照片等部门落实相关健康政策情况的资料。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将示范区建设工作纳入各部门年度目标管理和绩效考核。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备查资料：各部门的年度计划、总结报告与绩效考核兑现情况等相关资料。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推进烟草控制行动，辖区内100%的室内公共场所和工作场所设置禁止吸烟警语和标识。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备查资料：室内公共场所及工作场所禁烟标识警语照片。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积极开展“无烟单位（机关）”创建活动。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备查资料：创建文件及根据相应标准准备备检材料。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sz w:val="32"/>
          <w:szCs w:val="32"/>
        </w:rPr>
        <w:t>机关、事业单位、大中型企业等单位结合全民健身活动开展，每年至少开展1次健身竞赛活动。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备查资料：健身竞赛活动方案、通知、比赛日程、参加人员名单、现场照片等资料。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sz w:val="32"/>
          <w:szCs w:val="32"/>
        </w:rPr>
        <w:t>开展“一评二控三减四健”（健康评估、控烟、控酒、减盐、减油、减糖、健康口腔、健康体重、健康骨骼、健康心理）专项行动。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备查资料：开展相关活动的通知、照片、总结等相关资料。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7.</w:t>
      </w:r>
      <w:r>
        <w:rPr>
          <w:rFonts w:hint="eastAsia" w:ascii="Times New Roman" w:hAnsi="Times New Roman" w:eastAsia="仿宋_GB2312" w:cs="Times New Roman"/>
          <w:sz w:val="32"/>
          <w:szCs w:val="32"/>
        </w:rPr>
        <w:t>积极开展健康机关（单位）创建活动。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备查资料：单位申报表、照片及根据相应标准准备的创建过程资料。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（二）县政府办公室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负责创建活动的部门协调和部门履行职责情况督查。每年召开1次及以上领导小组会议，每年组织2次多部门参与的联合调研或督导。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备查资料：县政府牵头召开的会议记录、纪要及慢性病防治工作领导小组会议通知、签到表、会议记录、纪要、总结、照片等；多部门联合督导记录等相关资料。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负责慢性病综合防治示范区建设实施方案及相关文件的审核印发。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备查资料：慢性病综合防治示范区建设实施方案、慢性病防控公共政策、慢性病综合防控示范区建设工作调研或督导制度等。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县政府将慢病示范区建设实施方案相关工作纳入各相关部门年度目标管理和部门绩效考核。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备查资料：年度目标管理内容、部门绩效考核资料。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县政府每5年发布1次含慢性病防控内容的综合健康报告，综合健康报告主要结果用于政府工作报告。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备查资料：综合健康报告（含慢性病防控内容）、2018—2020年的政府工作报告。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（三）县慢性病综合防控示范区建设工作领导小组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负责创建活动的部门协调和部门履行职责情况督查。每年召开1次及以上领导小组会议，根据实际工作需要及时召开联络员会议，每年组织2次多部门参与的联合调研或督导。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备查资料：慢性病防治工作领导小组会议、联络员会议的通知、签到表、会议记录、纪要、总结、照片等；多部门联合督导记录等相关资料。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负责慢性病综合防治示范区建设实施方案及相关文件的审核把关。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备查资料：慢性病综合防治示范区建设实施方案、慢性病防控公共政策、慢性病综合防控示范区建设工作调研或督导制度等。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慢性病综合防控工作有特色、可复制、可推广。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备查资料：创新特色案例2个。</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提炼推广经验做法，起到示范引领作用。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备查资料：被市级及以上推广的推广材料、照片等。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（四）县委组织部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组织机关事业单位为职工提供健康查体机会，至少每2年为职工提供1次健康查体的机关、事业单位覆盖率不低于50%。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备查资料：制定的相关文件、实施记录及覆盖比例佐证资料（提供全县机关、事业单位的数量及资料来源，以及落实职工健康查体制度的单位名单、查体数据统计表、单位查体报告等）。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县委组织部文明办将慢性病综合防控工作与辖区文明创建有机衔接整合，以达到1+1&gt;2的实际效果，建立协同工作机制并有效衔接。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备查资料：与慢性病综合防控工作相结合的文明创建资料，包括实施方案、工作总结、图片等有机衔接整合相关佐证资料。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（五）县委宣传部、县融媒体中心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媒体宣传：传播慢病防治和健康素养知识和技能，制定慢性病传播工作计划，每月不少于2次。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备查资料：慢性病传播计划文件，在县主流媒体开设健康教育主题栏目登记表、每月2次传播活动内容底稿或影像资料、传播活动工作总结等资料。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（六）县总工会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组织开展全民健康生活方式行动示范机关（单位）、企业创建活动，创建健康机关（单位）、企业占辖区同类单位总数的30%以上。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备查资料：提供辖区机关（单位）、企业名单开展示范创建活动。健康机关（单位）、企业评选文件，单位申报表、健康机关（单位）、企业名单、根据相应标准准备的创建过程资料及相关影像材料。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引导各基层工会组织建立职工参加健身活动和锻炼的制度，在机关、事业单位和大中型企业落实职工工间操制度，每人每天运动时间不低于20分钟，覆盖单位80%以上，每年机关、企事业单位开展至少1次健身竞赛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落实工间操制度的文件、覆盖比例佐证资料（提供全县机关、事业单位及大中型企业的数量及资料来源，以及落实工间操制度的单位名单）、竞赛活动相关性材料（活动通知、参与人员名单、竞赛活动项目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维护职工健康权益，鼓励机关、事业单位及大中型企业为职工提供健康查体机会，每2年为职工提供1次健康查体的机关、事业单位及员工超过50人的企业覆盖率不低于50%。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备查资料：制定的相关文件、实施记录及覆盖比例佐证资料（提供全县机关、事业单位及员工超过50人的企业的数量及资料来源，以及落实职工健康查体制度的单位名单、查体数据统计表等。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（七）县妇联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开展以妇女为主的健康生活方式知识讲座，提倡健康生活方式，对全县妇女骨干进行基层健康指导员培训，组织成为基层健康指导员的妇女骨干开展健康生活方式宣传活动。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备查资料：工作开展实施方案、总结；讲座内容、签到表、照片；基层健康指导员开展活动的工作记录、汇总表、现场照片、工作总结等资料。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在健康社区开展健康家庭评选活动，每个健康社区至少评选10个及以上健康家庭，社区（村）覆盖率达到40%以上。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备查资料：健康家庭评选文件、家庭申报表、健康家庭名单、图片及创建过程材料。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（八）县发改局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将慢性病预防控制工作列入我县社会经济发展规划。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备查资料：郯城县社会经济发展“十三五”规划（有慢性病防控内容）。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（九）县教体局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将营养、慢性病和口腔卫生知识纳入中小学、幼儿园健康教育教学内容，监督、管理和保证中小学生校园锻炼的时间和质量。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在中小学和幼儿园开设健康教育课，覆盖率达到100%，课程包含营养、口腔保健、健康体重、视力保护等内容，每班每学期≥6学时。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备查资料：实施方案，文件，教学计划，健康教育课教材教案，课程表，上课照片等资料，年度工作计划及总结体现开课情况。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开展全国亿万学生阳光体育运动，实施阳光体育工程的中小学校比例不低于50%，中小学生每天锻炼时间不少于1小时，学校体育场地免费或低收费向居民开放。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备查资料：中小学每天锻炼1小时的比例达到100%所实施的实施方案、文件、教学计划，中小学生锻炼课程表(标明时间段）、锻炼照片，免费或低收费开放证明材料（开放公告、开放名单等相关验证材料）。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中小学校及托幼机构有限制销售高糖饮料和零食政策。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备查资料：限制销售高糖饮料和零食政策文件、实施方案、工作措施、工作计划、进度、总结及影像资料（辖区内中小学校及托幼机构名单、已开展的名单）。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组织在校小学生开展口腔检查，对符合适应症的儿童开展窝沟封闭，辖区内实施儿童窝沟封闭率的学校比例不低于60%。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备查资料:开展窝沟封闭的文件、实施方案、工作开展计划、进度、总结及影像资料，覆盖比例佐证资料（辖区内小学名单、已开展的小学名单）。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sz w:val="32"/>
          <w:szCs w:val="32"/>
        </w:rPr>
        <w:t>推进全县教学机构烟草控制活动开展，无烟学校覆盖率达到100%。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备查资料：无烟学校实施方案、根据相应标准准备的创建过程资料、现场无烟校园禁烟警示图片、申报评审资料等。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sz w:val="32"/>
          <w:szCs w:val="32"/>
        </w:rPr>
        <w:t>组织健康学校创建活动，建成“健康促进示范学校”（乡镇小学以中心校为单位）的占辖区学校总数的30%以上，按照示范餐厅、示范食堂的标准建设学校食堂。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备查资料：辖区学校名单，创建申报表、健康加油站管理人员信息统计表、健康指导员信息统计表、创建督导表、图片、根据相应标准准备的创建过程资料等。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7.</w:t>
      </w:r>
      <w:r>
        <w:rPr>
          <w:rFonts w:hint="eastAsia" w:ascii="Times New Roman" w:hAnsi="Times New Roman" w:eastAsia="仿宋_GB2312" w:cs="Times New Roman"/>
          <w:sz w:val="32"/>
          <w:szCs w:val="32"/>
        </w:rPr>
        <w:t>组织学校每年为学生开展健康体检，学生健康体检率不低于90%。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备查资料：制定的相关文件、实施记录及覆盖比例佐证资料（提供全县学校名单、各学校在校学生的数量，以及组织学生进行健康体检的学校名单、接受健康体检的学生数量、查体数据统计表等。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（十）县体育发展服务中心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贯彻落实《全民健身条例》，推行《全民健身计划（2021—2025年）》，指导开展群众性体育活动，构建全民健身公共服务体系。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定期开展政府支持、企事业单位承担及参与的健身活动。协调多部门开展集体性健身活动，每年由多部门组织开展1次以上的集体性健身活动；引导群众组建5个以上的健身活动团体，定期组织开展健身活动；配有体育指导员和志愿者，社会指导员数量站总人口的2.3‰以上；结合8月8日国家全民健身日活动，联合工会、卫生等部门，组织开展形式多样的职工健身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备查资料：活动通知、秩序册、照片、总结、健身团体名单、体育指导员及志愿者名单、日常相关活动记录，信息简报、照片等资料。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促进村居（社区）健身场所建设，指导各健身场所配备15分钟健身圈所必须的健身活动器材和设施，健身场所设置覆盖率达到90%以上，设备完好率100%，人均体育场地面积不低于2平米，公共体育场地、设施免费或低收费开放比例100%，有条件的单位、学校体育场地免费或低收费开放比例≥30%，经常参加体育锻炼人口比例≥40，开展国民体质健康监测，为居民提供个性化运动处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健身场所名册、照片及覆盖率证明资料、设备完好(定时进行检修等）证明材料等，人居体育场地不低于2平米佐证资料，公共体育场地、设施免费或低收费开放公告、开放名册、佐证材料，有条件的单位免费或低收费开放名册、佐证材料，经常参加体育锻炼人口相关佐证材料（健身活动团体名单及人数），开展体质健康监测方式等，运动化处方的内容、指导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为全县机关、事业单位、大中型企业等单位培训健骨操师资人员，组织机关、事业单位、大中型企业等单位落实工间（前）操制度；结合全民健身活动开展，举办广播体操、健骨操等健身竞赛活动。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实施方案、通知、培训人员花名册、签到表、照片等资料；落实工间（前）操制度的单位名册，参加人数等；举办广播体操、健骨操等健身竞赛活动的方案、通知、比赛日程、参加单位名单、现场照片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利用体彩捐献的体育健身器材，兴建体育健身场所。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备查资料：体育健身场所明细、照片。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（十一）县公安局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创造居民健身活动安全环境，在县区主要交通干道、健身场所周边合理设置人行道与非机动车、机动车道，提高人行道安全性。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备查资料：城区交通干道规划设置资料。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协同卫生部门对慢性病监测、慢性病防控社会因素调查提供准确的人口学资料，抓好死因监测工作户口注销环节《居民死亡医学证明（推断）书》查验工作，按月与卫生、民政等部门交换人口死亡信息数据项。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备查资料：分性别年龄段人口学资料、登记记录及《居民死亡医学证明（推断）书》查验存根、死亡注销。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（十二）县民政局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协同卫生部门做好死因监测工作，抓好死因监测工作殡葬服务环节《居民死亡医学证明（推断）书》查验管理和登记。按月与卫生、公安部门交换人口死亡信息数据项。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备查资料：《居民死亡医学证明（推断）书》查验登记记录及存根。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落实基本医疗保险、城乡居民大病保险和医疗救助重大疾病保障，提高签约患者的医疗保障水平和残疾人、流动人口、低收入人口等人群医疗救助水平。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备查资料：与慢性病有关的政策、意见、方案及体现落实情况的年度数据、报表、总结等佐证资料。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积极推行医养结合模式，推进居家养老、社区养老和机构养老工作规范化发展。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备查资料：全县养老工作政策文件、工作总结、影像等支持性资料，与卫生协作的医养结合的佐证材料。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利用福彩捐献的体育健身器材、康复器材，兴建体育健身场所和慢性病康复室。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备查资料：体育健身场所、慢性病康复室明细、照片。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（十三）县财政局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县财政每年将慢性病综合防控经费纳入年度预算，疾控机构有专项慢性病防控业务经费，且每年不少于疾控机构总体经费的10％。并按时足额拨付了创建慢病示范区防控经费；根据工作开展情况逐年增加慢性病防控工作经费，做到专款专用，规范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备查资料：批复部门预算文件，决算报表。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按规划、计划提供示范区建设专项工作经费，专款专用。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备查资料：疾控机构慢性病防控经费拨付文件、凭证、支出凭证。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（十四）县交通运输局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推进烟草控制行动，辖区内公共交通工具设置禁止吸烟警语和标识。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备查资料：相关政策文件，公共交通工具设置禁烟标识、警语的照片等资料。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（十五）县文化和旅游局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组织村居（社区）成立群众健身团体，定期组织开展健身活动。至少有1个健身团体的村居（社区）占全县村居（社区）的60%以上。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备查资料：全县各村居（社区）健身团体统计表，团体健身活动计划表及活动记录，与群众健身团体相关的培训等其他资料。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为全县机关、事业单位、大中型企业等单位培训健骨操师资人员；结合全民健身活动开展，举办广场舞、健骨操等健身竞赛活动。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备查资料：实施方案、通知、培训人员花名册、签到表、总结、影像等资料；举办广场舞、健骨操等健身竞赛活动的方案、通知、比赛日程、参加单位名单、总结、现场影像等资料。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慢性病综合防控工作与辖区社区文化建设、健康城市建设、文明创建、公共服务与公共产品等相关项目有机衔接整合，以达到1+1&gt;2的实际效果，建立协同工作机制并有效衔接。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报送材料：与慢性病综合防控工作相结合的社区文化活动资料，包括开展活动通知、图片、总结等。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（十六）县卫生健康局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承担慢病综合防控工作领导小组办公室日常性工作，每年组织召开领导小组成员部门工作会议1次及以上，根据实际工作需要及时召开部门联络员会议。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备查资料：会议通知、签到表、会议材料、会议记录、总结、照片等。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起草制定省级慢性病综合防控示范区建设实施方案、慢性病综合防控示范区建设工作联合督导方案、慢性病防控服务体系建设方案、慢性病防控相关政策等，成立技术指导专家组，建立完善联合督导、信息共享、互联互通等的工作机制，建立完善慢性病防控服务体系的运行、质控、绩效评价机制，加强慢性病防治队伍建设和培训，对创建工作进行整体指导考核，为其他成员部门参与建设活动提供技术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成立技术专家组、慢性病防控服务体系建设方案、慢性病综合防控示范区建设工作联合督导方案、慢性病管理方案等文件、示范区工作记录（含培训记录、技术指导记录、培训签到、培训材料、会议信息、媒体报道、现场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开展慢性病防控社会因素调查，确定慢性病防治的重点目标人群和优先领域。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备查资料：慢性病防控社会因素调查工作方案、调查报告、专题调查过程资料。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每5年形成1次含慢性病防控内容的综合健康报告。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备查资料：综合健康报告（含慢性病防控内容）。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sz w:val="32"/>
          <w:szCs w:val="32"/>
        </w:rPr>
        <w:t>健全疾病监测网络和系统，规范开展全人群的死因监测、慢病与营养监测及脑卒中、冠心病和肿瘤发病登记报告工作，监测、报告技术指标达到相关要求，向政府提交监测报告。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备查资料：监测工作文件、督导记录、工作培训、数据分析评价报告、漏报调查方案和报告、查漏补报、年鉴等。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sz w:val="32"/>
          <w:szCs w:val="32"/>
        </w:rPr>
        <w:t>开展慢性病与营养监测。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备查资料：慢性病防控社会因素调查报告、专题调查过程资料及报告。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7.</w:t>
      </w:r>
      <w:r>
        <w:rPr>
          <w:rFonts w:hint="eastAsia" w:ascii="Times New Roman" w:hAnsi="Times New Roman" w:eastAsia="仿宋_GB2312" w:cs="Times New Roman"/>
          <w:sz w:val="32"/>
          <w:szCs w:val="32"/>
        </w:rPr>
        <w:t>利用慢病监测管理系统，实现辖区县级以上医疗机构慢病监测数据与省级慢病监测平台实现自动推送，做到慢性病监测数据互联互通。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备查资料：系统截图、工作总结、照片等相关佐证材料。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8.</w:t>
      </w:r>
      <w:r>
        <w:rPr>
          <w:rFonts w:hint="eastAsia" w:ascii="Times New Roman" w:hAnsi="Times New Roman" w:eastAsia="仿宋_GB2312" w:cs="Times New Roman"/>
          <w:sz w:val="32"/>
          <w:szCs w:val="32"/>
        </w:rPr>
        <w:t>组织开展健康主题日宣传活动：结合肿瘤宣传周、世界无烟日、全国高血压日、世界糖尿病日、全民健康生活方式日、全国爱牙日、世界骨质疏松日、世界脑卒中日等健康主题日，开展大型主题宣传活动，每场次不少于300人(含分会场)，每年至少5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材料：每年开展卫生主题日的工作计划、实施方案、活动通知等文件；每年开展各卫生主题日活动登记表、统计表、参加人数、展板摆放、悬挂条幅、义诊咨询人数、发放宣传资料种类份数、信息简报、照片资料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9.</w:t>
      </w:r>
      <w:r>
        <w:rPr>
          <w:rFonts w:hint="eastAsia" w:ascii="Times New Roman" w:hAnsi="Times New Roman" w:eastAsia="仿宋_GB2312" w:cs="Times New Roman"/>
          <w:sz w:val="32"/>
          <w:szCs w:val="32"/>
        </w:rPr>
        <w:t>开展“一评二控三减四健”（健康评估、控烟、控酒、减盐、减油、减糖、健康口腔、健康体重、健康骨骼、健康心理）专项行动。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备查资料：专项行动方案、活动方案、影像资料、总结等过程资料。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10.</w:t>
      </w:r>
      <w:r>
        <w:rPr>
          <w:rFonts w:hint="eastAsia" w:ascii="Times New Roman" w:hAnsi="Times New Roman" w:eastAsia="仿宋_GB2312" w:cs="Times New Roman"/>
          <w:sz w:val="32"/>
          <w:szCs w:val="32"/>
        </w:rPr>
        <w:t>推进烟草控制行动，组织各医疗卫生单位全面禁烟；积极指导卫生系统以外的单位开展无烟创建工作，全面建成无烟医疗卫生机构。组织辖区各级医疗机构（包含一、二、三级医疗机构和妇幼保健院）开展简短戒烟服务培训。二级以上医疗机构提供简短戒烟服务。15岁以上成人吸烟率低于22%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无烟医疗卫生单位实施文件、根据相应标准准备的创建过程资料。组织医院开展戒烟服务活动方案或通知。各医院戒烟服务培训登记表、活动记录（通知、签到、培训课件、活动记录、照片等）。二级以上医疗机构简短戒烟服务登记表、服务内容、宣传材料、慢性病防控社会因素调查报告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11.</w:t>
      </w:r>
      <w:r>
        <w:rPr>
          <w:rFonts w:hint="eastAsia" w:ascii="Times New Roman" w:hAnsi="Times New Roman" w:eastAsia="仿宋_GB2312" w:cs="Times New Roman"/>
          <w:sz w:val="32"/>
          <w:szCs w:val="32"/>
        </w:rPr>
        <w:t>加强高危人群发现与干预，各医疗卫生单位实行18岁以上人群首诊测血压制度；实施高危人群主动筛查和综合防治管理工作，加强高危人群干预，干预效果评价指标达到省级规定要求；开展肥胖与超重人群筛查，为有需要的居民提供维持健康体重的个性化健康指导；开展心脑血管疾病、重点癌症、糖尿病、慢性阻塞性肺病等重大慢性病的筛查和早期诊断；具备血糖、血脂、简易肺功能测定和大便隐血检测等4种技术并提供服务；加强个人健康档案与健康体检信息的利用，发现血压偏高、糖尿病前期和血脂异常等高危人群，要及时登记并纳入健康管理；18岁以上高血压知晓率不低于60%，18岁以上糖尿病知晓率不低于50%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各项工作的制度文件、督导记录、实施方案、筛查登记表、乡镇（街）卫生院4种监测技术覆盖情况统计表、高危人群登记表、高危人群管理档案、高危人群管理统计表、工作总结、照片、慢性病防控社会因素调查报告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12.</w:t>
      </w:r>
      <w:r>
        <w:rPr>
          <w:rFonts w:hint="eastAsia" w:ascii="Times New Roman" w:hAnsi="Times New Roman" w:eastAsia="仿宋_GB2312" w:cs="Times New Roman"/>
          <w:sz w:val="32"/>
          <w:szCs w:val="32"/>
        </w:rPr>
        <w:t>开展学生、老年人等重点人群和职工定期健康体检和健康指导。65岁及以上老年人健康体检率不低于90%。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备查资料：学生健康体检方案、总结、图片、报告，老年人健康体检方案、报表、图片、总结等，机关事业单位和员工数超过50人的企业名单，查体数据统计表、总结、图片等。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13.</w:t>
      </w:r>
      <w:r>
        <w:rPr>
          <w:rFonts w:hint="eastAsia" w:ascii="Times New Roman" w:hAnsi="Times New Roman" w:eastAsia="仿宋_GB2312" w:cs="Times New Roman"/>
          <w:sz w:val="32"/>
          <w:szCs w:val="32"/>
        </w:rPr>
        <w:t>建立分级诊疗制度，推进家庭医生签约服务，家庭医生签约服务覆盖率率不低于本省平均水平30%，加强高血压、糖尿病患者规范化管理，规范管理率、控制率均高于全省平均水平5%。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备查资料：制度、方案、信息平台截图、上下转诊佐证资料、基层医疗机构门诊量统计表、家庭医生签约报表、基本公卫报表。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14.</w:t>
      </w:r>
      <w:r>
        <w:rPr>
          <w:rFonts w:hint="eastAsia" w:ascii="Times New Roman" w:hAnsi="Times New Roman" w:eastAsia="仿宋_GB2312" w:cs="Times New Roman"/>
          <w:sz w:val="32"/>
          <w:szCs w:val="32"/>
        </w:rPr>
        <w:t>提供方便、可及的自助式健康检测服务，在村居（社区）、公共场所、医疗卫生单位设立能够测量身高、体重、腰围、血压等指标的自助检测点，提供个性化健康指导的乡镇卫生院（社区卫生服务中心）覆盖率超过50%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备查资料：设立自助式健康检测点的登记表、文字资料、相关文件、设施方案、照片等；提供个性化健康指导的乡镇卫生院（社区卫生服务中心）登记表，个性化指导内容、指导照片等。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15.</w:t>
      </w:r>
      <w:r>
        <w:rPr>
          <w:rFonts w:hint="eastAsia" w:ascii="Times New Roman" w:hAnsi="Times New Roman" w:eastAsia="仿宋_GB2312" w:cs="Times New Roman"/>
          <w:sz w:val="32"/>
          <w:szCs w:val="32"/>
        </w:rPr>
        <w:t>创新慢性病患者自我管理模式，鼓励社区慢性病患者积极参与自我健康管理小组，提高患者自我管理积极性和主动性，逐步扩大自我管理人员队伍与覆盖率。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备查资料：全县各社区自我健康管理小组统计表、自我管理过程记录。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16.</w:t>
      </w:r>
      <w:r>
        <w:rPr>
          <w:rFonts w:hint="eastAsia" w:ascii="Times New Roman" w:hAnsi="Times New Roman" w:eastAsia="仿宋_GB2312" w:cs="Times New Roman"/>
          <w:sz w:val="32"/>
          <w:szCs w:val="32"/>
        </w:rPr>
        <w:t>在村居（社区）健身场所、健康教育活动室等开展健康讲座</w:t>
      </w:r>
      <w:r>
        <w:rPr>
          <w:rFonts w:hint="eastAsia" w:ascii="Times New Roman" w:hAnsi="Times New Roman" w:eastAsia="仿宋_GB2312" w:cs="Times New Roman"/>
          <w:b/>
          <w:bCs/>
          <w:sz w:val="32"/>
          <w:szCs w:val="32"/>
        </w:rPr>
        <w:t>（</w:t>
      </w:r>
      <w:r>
        <w:rPr>
          <w:rFonts w:hint="eastAsia" w:ascii="Times New Roman" w:hAnsi="Times New Roman" w:eastAsia="仿宋_GB2312" w:cs="Times New Roman"/>
          <w:sz w:val="32"/>
          <w:szCs w:val="32"/>
        </w:rPr>
        <w:t>每年≥4次，每次不少于50人），每2个月1次更换宣传栏的慢性病综合防控相关知识等，为居民提供宣传材料和健康宣传视频。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备查资料：全县健康教育活动室统计表、开展的相关活动的记录、总结、照片等；全县健康宣传栏设置统计表、更换宣传栏的记录及底稿；社区健康讲座统计表、活动记录、文字资料、照片等。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17.</w:t>
      </w:r>
      <w:r>
        <w:rPr>
          <w:rFonts w:hint="eastAsia" w:ascii="Times New Roman" w:hAnsi="Times New Roman" w:eastAsia="仿宋_GB2312" w:cs="Times New Roman"/>
          <w:sz w:val="32"/>
          <w:szCs w:val="32"/>
        </w:rPr>
        <w:t>开展居民重点慢性病核心知识知晓率调查。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备查资料：调查方案、问卷、报告、现场过程资料。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18.</w:t>
      </w:r>
      <w:r>
        <w:rPr>
          <w:rFonts w:hint="eastAsia" w:ascii="Times New Roman" w:hAnsi="Times New Roman" w:eastAsia="仿宋_GB2312" w:cs="Times New Roman"/>
          <w:sz w:val="32"/>
          <w:szCs w:val="32"/>
        </w:rPr>
        <w:t>开展居民健康素养水平调查。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备查资料：调查方案、问卷、报告、现场过程资料。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19.</w:t>
      </w:r>
      <w:r>
        <w:rPr>
          <w:rFonts w:hint="eastAsia" w:ascii="Times New Roman" w:hAnsi="Times New Roman" w:eastAsia="仿宋_GB2312" w:cs="Times New Roman"/>
          <w:sz w:val="32"/>
          <w:szCs w:val="32"/>
        </w:rPr>
        <w:t>利用社会主流媒体和互联网广泛开展慢病防治和健康教育，每月不少于2次。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备查资料：各医疗卫生单位电视台或互联网慢病健康宣传统计表、宣传内容照片、视频、网络截图等。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20.</w:t>
      </w:r>
      <w:r>
        <w:rPr>
          <w:rFonts w:hint="eastAsia" w:ascii="Times New Roman" w:hAnsi="Times New Roman" w:eastAsia="仿宋_GB2312" w:cs="Times New Roman"/>
          <w:sz w:val="32"/>
          <w:szCs w:val="32"/>
        </w:rPr>
        <w:t>对“健康山东•全民健康生活方式行动”基层健康指导员进行培训，指导基层健康指导员开展工作。以村居（社区）为单位，至2021年，有90%以上的村居（社区）至少有1名经过培训的“基层健康指导员”，基层健康指导员每月至少开展1次活动，每年村医定期对基层健康指导员进行指导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健康山东•全民健康生活方式行动”基层健康指导员名单、培训通知、签到表、培训材料、会议记录、总结、照片等，基层健康指导员开展活动的相关资料（活动记录、图片、总结等），村医对基层健康指导员进行指导和培训的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21.</w:t>
      </w:r>
      <w:r>
        <w:rPr>
          <w:rFonts w:hint="eastAsia" w:ascii="Times New Roman" w:hAnsi="Times New Roman" w:eastAsia="仿宋_GB2312" w:cs="Times New Roman"/>
          <w:sz w:val="32"/>
          <w:szCs w:val="32"/>
        </w:rPr>
        <w:t>积极开展“健康单位”创建活动，建立健全促进健康生活方式的相关制度，对创建活动提供相应的技术指导。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备查资料：创建健康单位的工作方案、评审验收基础资料、活动记录、创建总结、相关信息、照片等。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22.</w:t>
      </w:r>
      <w:r>
        <w:rPr>
          <w:rFonts w:hint="eastAsia" w:ascii="Times New Roman" w:hAnsi="Times New Roman" w:eastAsia="仿宋_GB2312" w:cs="Times New Roman"/>
          <w:sz w:val="32"/>
          <w:szCs w:val="32"/>
        </w:rPr>
        <w:t>提供辖区医院名单，组织开展健康医院创建活动，创建示范医院占总数的30%以上。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备查资料：健康医院评选文件、医院申报表、健康医院名单及相关图片材料。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23.</w:t>
      </w:r>
      <w:r>
        <w:rPr>
          <w:rFonts w:hint="eastAsia" w:ascii="Times New Roman" w:hAnsi="Times New Roman" w:eastAsia="仿宋_GB2312" w:cs="Times New Roman"/>
          <w:sz w:val="32"/>
          <w:szCs w:val="32"/>
        </w:rPr>
        <w:t>加大医养结合推进力度，医疗机构向居家养老、社区养老、机构养老的老年人提供医养结合的健康养老服务覆盖比例不低于80%。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备查资料：医养结合政策性文件、实施方案、各医疗机构提供医养结合的健康养老服务印证资料、试点医院过程资料等。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24.</w:t>
      </w:r>
      <w:r>
        <w:rPr>
          <w:rFonts w:hint="eastAsia" w:ascii="Times New Roman" w:hAnsi="Times New Roman" w:eastAsia="仿宋_GB2312" w:cs="Times New Roman"/>
          <w:sz w:val="32"/>
          <w:szCs w:val="32"/>
        </w:rPr>
        <w:t>有效引进社会资本参与慢性病防控，通过向社会力量购买服务的方式为慢性病患者提供健康管理服务，有商业健康保险参与医疗救助。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备查资料：相关政策，文件、照片等支持性材料。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25.</w:t>
      </w:r>
      <w:r>
        <w:rPr>
          <w:rFonts w:hint="eastAsia" w:ascii="Times New Roman" w:hAnsi="Times New Roman" w:eastAsia="仿宋_GB2312" w:cs="Times New Roman"/>
          <w:sz w:val="32"/>
          <w:szCs w:val="32"/>
        </w:rPr>
        <w:t>辖区疾病预防控制机构有独立的慢性病防控科室，专职人员占本机构专业人员总数的比例10%以上，且每年接受上级专业培训不少于2次。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备查资料：慢性病防控科室成立相关文件，科室人员数量及疾控机构专业人员花名册，上级培训通知、回执、课件等相关资料。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26.</w:t>
      </w:r>
      <w:r>
        <w:rPr>
          <w:rFonts w:hint="eastAsia" w:ascii="Times New Roman" w:hAnsi="Times New Roman" w:eastAsia="仿宋_GB2312" w:cs="Times New Roman"/>
          <w:sz w:val="32"/>
          <w:szCs w:val="32"/>
        </w:rPr>
        <w:t>二级以上医院设立公共卫生科，有承担疾病预防控制工作的部门，配备专职的公共卫生人员承担慢性病防控工作，每年组织对辖区基层医疗机构的慢病专业培训不少于2次且基层慢性病防治人员培训率达90%以上。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备查资料：二级以上医院公共卫生科成立相关文件，部门及人员设置情况，每年2次对辖区基层医疗机构的慢病专业培训资料。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27.</w:t>
      </w:r>
      <w:r>
        <w:rPr>
          <w:rFonts w:hint="eastAsia" w:ascii="Times New Roman" w:hAnsi="Times New Roman" w:eastAsia="仿宋_GB2312" w:cs="Times New Roman"/>
          <w:sz w:val="32"/>
          <w:szCs w:val="32"/>
        </w:rPr>
        <w:t>基层医疗机构设立单独的科室负责慢性病防控工作，并且有专职人员承担慢性病防控工作，基层医疗机构每年接受上级培训不少于2次，基层医疗机构每年组织对村医或社区卫生服务站医护人员的培训不少于2次且培训率达到90%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备查资料：基层医疗机构科室及人员设置情况，每年接受上级培训不少于2次，每年对村医或社区卫生服务人员培训不少于2次，有通知、培训资料、总结、照片等。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28.</w:t>
      </w:r>
      <w:r>
        <w:rPr>
          <w:rFonts w:hint="eastAsia" w:ascii="Times New Roman" w:hAnsi="Times New Roman" w:eastAsia="仿宋_GB2312" w:cs="Times New Roman"/>
          <w:sz w:val="32"/>
          <w:szCs w:val="32"/>
        </w:rPr>
        <w:t>组织在校小学生开展口腔检查，对符合适应症的儿童开展窝沟封闭，辖区内实施儿童窝沟封闭率的学校比例不低于60%。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备查资料:开展窝沟封闭的文件、实施方案、工作开展计划、进度、总结及影像资料，覆盖比例佐证资料（辖区内小学名单、已开展的小学名单）。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29.</w:t>
      </w:r>
      <w:r>
        <w:rPr>
          <w:rFonts w:hint="eastAsia" w:ascii="Times New Roman" w:hAnsi="Times New Roman" w:eastAsia="仿宋_GB2312" w:cs="Times New Roman"/>
          <w:sz w:val="32"/>
          <w:szCs w:val="32"/>
        </w:rPr>
        <w:t>辖区12岁儿童患龋率低于25%。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报送材料：开展中小学生健康查体的文件、实施方案、工作开展计划、总结及影像资料、患龋率佐证资料（辖区内12岁儿童总数、12岁儿童口腔查体患龋数）。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30.</w:t>
      </w:r>
      <w:r>
        <w:rPr>
          <w:rFonts w:hint="eastAsia" w:ascii="Times New Roman" w:hAnsi="Times New Roman" w:eastAsia="仿宋_GB2312" w:cs="Times New Roman"/>
          <w:sz w:val="32"/>
          <w:szCs w:val="32"/>
        </w:rPr>
        <w:t>依托辖区医疗机构建立口腔疾病防治指导中心。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备查资料：依托县辖区内医疗机构建立口腔疾病防治指导中心，指导中心建立相关文件、工作职责、领导小组、成员及分工；工作计划、总结；挂牌、口腔疾病防治指导工作开展现场照片和相关资料。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31.</w:t>
      </w:r>
      <w:r>
        <w:rPr>
          <w:rFonts w:hint="eastAsia" w:ascii="Times New Roman" w:hAnsi="Times New Roman" w:eastAsia="仿宋_GB2312" w:cs="Times New Roman"/>
          <w:sz w:val="32"/>
          <w:szCs w:val="32"/>
        </w:rPr>
        <w:t>建立县级全民健康信息平台，建立全县统一的基层卫生健康信息综合管理系统，专业公共卫生机构、二级及以上医院和基层医疗卫生机构之间实现互联互通和信息共享，实现电子健康档案和电子病历的连续记录和信息共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备查资料：相关文件、信息平台截图、系统构建过程资料、工作总结、照片等佐证材料。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32.</w:t>
      </w:r>
      <w:r>
        <w:rPr>
          <w:rFonts w:hint="eastAsia" w:ascii="Times New Roman" w:hAnsi="Times New Roman" w:eastAsia="仿宋_GB2312" w:cs="Times New Roman"/>
          <w:sz w:val="32"/>
          <w:szCs w:val="32"/>
        </w:rPr>
        <w:t>应用“互联网+”技术为签约服务的患者提供健康管理和诊疗服务，全县普遍应用电子健康卡。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备查资料：工作总结、照片等相关佐证材料。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33.</w:t>
      </w:r>
      <w:r>
        <w:rPr>
          <w:rFonts w:hint="eastAsia" w:ascii="Times New Roman" w:hAnsi="Times New Roman" w:eastAsia="仿宋_GB2312" w:cs="Times New Roman"/>
          <w:sz w:val="32"/>
          <w:szCs w:val="32"/>
        </w:rPr>
        <w:t>辖区各社区卫生服务中心、乡镇卫生院设有中医综合服务区，设有中医综合服务区的社区卫生服务中心、乡镇卫生院比例达100%。开展中医药养生保健知识的宣传及中医适宜技术推广。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送材料：设有中医综合服务区的社区卫生服务中心、乡镇卫生院比例达100%的政策、数据支持。中医综合服务区、国医堂资料、中医药养生保健、中医适宜技术培训方面的资料，具体包括基层医疗机构中医药综合服务区工作人员登记表、设备配备登记表；中医药综合服务区建设统计表；国医堂照片、申报书、建设计划、文件等。中医药健康教育资料、中医药知识公众健康咨询活动通知、照片、课件等；宣传栏更换记录表、各村卫生室健康教育知识宣传栏登记表、健康知识讲座登记表。中医适宜技术培训通知、签到、总结、照片、课件；中医药适宜技术推广培训方案；基层医疗机构乡镇卫生院中医适宜技术服务项目一览表；基层医疗机构村卫生室中医适宜技术服务项目一览表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34.</w:t>
      </w:r>
      <w:r>
        <w:rPr>
          <w:rFonts w:hint="eastAsia" w:ascii="Times New Roman" w:hAnsi="Times New Roman" w:eastAsia="仿宋_GB2312" w:cs="Times New Roman"/>
          <w:sz w:val="32"/>
          <w:szCs w:val="32"/>
        </w:rPr>
        <w:t>做好基本医疗保险、城乡居民大病保险和医疗救助重大疾病保障。落实基本医疗保险、大病保险和医疗救助重大疾病保障等相关政策。提高签约患者的医疗保障水平和残疾人、流动人口、低收入等人群医疗救助水平的具体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送材料：往年山东省关于居民医疗保险相关下达的政策文件、县级政策性文件，年度工作计划、工作总结、照片、过程记录等体现政策落实的材料。签约患者的医疗保障水平和残疾人、流动人口、低收入等人群医疗救助政策文件、实施方案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35.</w:t>
      </w:r>
      <w:r>
        <w:rPr>
          <w:rFonts w:hint="eastAsia" w:ascii="Times New Roman" w:hAnsi="Times New Roman" w:eastAsia="仿宋_GB2312" w:cs="Times New Roman"/>
          <w:sz w:val="32"/>
          <w:szCs w:val="32"/>
        </w:rPr>
        <w:t>基本医疗卫生机构配备国家或省相关指南、推荐方案建议的高血压、糖尿病等重点慢性病治疗药物，优先使用基本药物。全部配备国家或省相关指南方案推荐药品种类的达到80%以上。实施高血压、糖尿病治疗基本药物全额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报送材料：基层医疗卫生机构达到80%标准的数据支持文件、相关工作总结、照片等。高血压、糖尿病治疗基本药物全额保障相关政策或者方案，工作总结等佐证材料。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（十七）县市场监管局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加强餐饮业管理，对从业人员定期进行“限盐限油”健康膳食知识与技能培训，组织健康餐厅（食堂）创建活动，创建的健康餐厅（食堂）数量占总数的30%以上。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培训计划、培训通知、签到表、培训内容、培训现场照片；辖区餐厅（食堂）名单、健康餐厅（食堂）评选文件、餐厅（食堂）申报表、健康餐厅（食堂）名单相关影像材料及根据相应标准准备的创建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组织开展全民健康生活方式行动示范市场（超市、商场）创建活动，创建的健康市场（超市、商场）占辖区内市场（超市、商场）总数的30%以上。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备查资料：提供辖区市场（超市、商场）名单，健康市场（超市、商场）评选文件、申报表、健康市场（超市、商场）名单及相关图片材料，根据相应标准准备的创建过程资料。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（十八）县园林绿化综合服务中心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建设健康主题公园(广场)，创建健康步道（街道），在健身场所内设置健康生活方式宣传标语、标示和距离标识、健身器材等。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备查资料：设置平面图、标识底稿、照片等现场证明资料。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（十九）县统计局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为慢性病防控方案制定提供县区概况、地理位置、地形地貌、气温降水、自然资源、经济状况、文化教育状况、卫生状况、人口状况（包括2020年人口普查人口情况和县内各民族）等资料。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（二十）县医保局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落实基本医疗保险、城乡居民大病保险和医疗救助重大疾病保障等相关政策，提高签约患者的医疗保障水平和残疾人、流动人口、低收入人口等人群医疗救助水平。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备查资料：与慢性病有关的医保政策、意见、方案及体现落实情况的年度数据、报表、总结等佐证资料。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协同卫生部门对肿瘤监测、心脑血管疾病监测提供肿瘤、脑卒中、冠心病猝死患者居民医疗保险报销数据。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备查资料：定期提供报销病例详细信息。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（二十一）县残联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提高残疾人群医疗救助水平。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备查资料：相关政策，文件、照片等支持性材料。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（二十二）县盐务局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加强食用盐市场监督管理，积极引进推广低钠钾盐。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备查资料：食用盐供应计划、销售数量检测及低钠钾盐宣传推广资料。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（二十三）县爱卫办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负责对“全民健康生活方式行动示范家庭”、“全民健康生活方式行动示范社区”、“全民健康生活方式行动示范企业”、“全民健康生活方式行动示范机关（单位）”、“全民健康生活方式行动示范医院”、“全民健康生活方式行动示范学校”、“全民健康生活方式行动示范餐厅（食堂）”、“全民健康生活方式行动示范市场（超市、商场）”开展验收评审，对验收评审合格的，发放标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备查资料：实施方案、考评细则、考评原始资料、公布文件、示范创建登记表等。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组织全县党政机关、学校、医疗卫生单位开展无烟单位建设，辖区100%室内公共场所和工作场所设置禁止吸烟警语和标识。具体组织党政机关实施“无烟党政机关”创建工作，负责对“无烟党政机关”、“无烟学校”、“无烟医疗机构”验收评审，对验收评审合格的，发放标牌。制定辖区禁止烟草广告的政策性文件。15岁以上成人吸烟率逐年下降，5年降低10%，2021年较2017年（35.11%）降低20.25%，控制在28%以内，至2025年控制在22%以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实施方案、考评细则、考评原始资料、公布文件，“无烟党政机关”创建过程资料、无烟单位创建登记表等；室内公共场所和工作场所设置禁止吸烟警语和标识照片、体现设置禁止吸烟警语和标识比例达100%的佐证资料；辖区禁止烟草广告的政策性文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为考核合格的基层健康指导员发证。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备查资料：基层健康指导员名单公布文件、照片、工作总结等资料。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慢性病综合防控工作与辖区健康城市建设有机衔接整合，以达到1+1&gt;2的实际效果，建立协同工作机制并有效衔接。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备查资料：与慢性病综合防控工作相结合的健康城市建设资料，包括实施方案、工作总结、图片等有机衔接整合相关佐证资料。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（二十四）各乡镇人民政府、郯城街道办事处（开发区）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Times New Roman" w:hAnsi="Times New Roman" w:eastAsia="仿宋_GB2312" w:cs="Times New Roman"/>
          <w:sz w:val="32"/>
          <w:szCs w:val="32"/>
        </w:rPr>
        <w:t>负责组织开展全民健康生活方式行动示范社区创建活动，创建健康示范社区占辖区社区的40%以上，并在相应社区开展健康家庭评选活动，每个社区至少评选10个及以上健康家庭。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备查资料：提供辖区行政村（社区）名单，示范社区申报表，示范社区名单及相关图片材料；健康家庭评选文件、健康家庭申报表、健康家庭名单、相关图片材料、根据相应标准准备的创建过程资料。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sz w:val="32"/>
          <w:szCs w:val="32"/>
        </w:rPr>
        <w:t>在村居（社区）营造利于宣传慢性病防控知识、培养慢性病防控技能的支持性环境。在社区中建立健身场所、健康教育活动室和健教宣传栏。拥有健身场所、健康教育活动和社区宣传栏的村居（社区）占90%以上；开展社区健康讲座，每社区每年开展4次以上的讲座（每次不少于50人），每2个月更新宣传栏1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提供村居（社区）明细、拥有健身场所、健康教育活动室和健教宣传栏的社区明细、覆盖情况登记表、统计表，及社区内设施照片及视频；各乡镇（街道）举办健康教育讲座的登记表、统计表，组织开展健康教育讲座的通知、参加人员签到、照片及视频等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sz w:val="32"/>
          <w:szCs w:val="32"/>
        </w:rPr>
        <w:t>建设无烟党政机关，覆盖率达100%。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备查资料：无烟党政机关实施方案、相关创建活动资料、现场无烟图片、申报资料等。无烟单位创建活动资料，参照无烟单位建设标准准备相关资料。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sz w:val="32"/>
          <w:szCs w:val="32"/>
        </w:rPr>
        <w:t>每个村居（社区）至少推荐1名“健康山东·全民健康生活方式行动”基层健康指导员，有90%以上的村居（社区）至少有1名经过培训的“基层健康指导员”，并对指导员开展培训工作，使其掌握较多的健康生活方式知识和技能。基层健康指导员每月至少开展1次活动，通过指导员对家庭成员、亲朋近邻、社区居民开展通俗易懂的健康教育和指导，带动居民改变不健康的生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备查资料：活动开展实施方案，社区及指导员明细，各乡镇（街道）社区健康指导员配备情况登记表、统计表，培训通知、签到表、活动资料、简报照片，基层健康指导员开展活动的活动记录、图片、总结等。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二、工作要求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楷体_GB2312" w:hAnsi="楷体_GB2312" w:eastAsia="楷体_GB2312" w:cs="楷体_GB2312"/>
          <w:kern w:val="0"/>
          <w:sz w:val="32"/>
          <w:szCs w:val="32"/>
        </w:rPr>
        <w:t>（一）</w:t>
      </w:r>
      <w:r>
        <w:rPr>
          <w:rFonts w:hint="eastAsia" w:ascii="Times New Roman" w:hAnsi="Times New Roman" w:eastAsia="仿宋_GB2312" w:cs="Times New Roman"/>
          <w:sz w:val="32"/>
          <w:szCs w:val="32"/>
        </w:rPr>
        <w:t>根据省卫健委要求，省级慢性病综合防控示范区复审工作要在2021年9月底前提交材料，如不是按时提交，省卫健委将不组织复审。示范区复审工作任务重，要求高，时间紧，且慢病示范区是成为国家级卫生城的前提条件，各有关部门要给予高度重视，根据分担的任务倒排工期，强化责任，狠抓落实，确保顺利通过复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楷体_GB2312" w:hAnsi="楷体_GB2312" w:eastAsia="楷体_GB2312" w:cs="楷体_GB2312"/>
          <w:kern w:val="0"/>
          <w:sz w:val="32"/>
          <w:szCs w:val="32"/>
        </w:rPr>
        <w:t>（二）</w:t>
      </w:r>
      <w:r>
        <w:rPr>
          <w:rFonts w:hint="eastAsia" w:ascii="Times New Roman" w:hAnsi="Times New Roman" w:eastAsia="仿宋_GB2312" w:cs="Times New Roman"/>
          <w:sz w:val="32"/>
          <w:szCs w:val="32"/>
        </w:rPr>
        <w:t>各部门在慢性病综合防控示范区建设工作过程中，要围绕建设任务制定详细的计划和措施，在抓好硬件建设的同时，注重收集过程资料（文件、计划、记录、照片等，见各部门工作任务中的备查资料大纲），资料要收集2018至2021年的，按指标整理，每个指标能按年分的，比如培训、督导、年度总结等，逐年整理，如果不好按年分的，例如政策文件、15分钟健身圈覆盖率、禁止烟草广告等，可以3年的一起整理，于2018年之前出台的慢性病防控相关政策文件也应收集。资料收集要系统、全面，隶属或分支机构相关资料由所属部门统一集中收集，并连同部门建设工作情况整理专门档案一式两份，一份备查，另一份于9月20日前报县慢性病综合防控示范区建设工作领导小组办公室。领导小组办公室将组织人员对各部门的示范区建设工作进行定期考核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楷体_GB2312" w:hAnsi="楷体_GB2312" w:eastAsia="楷体_GB2312" w:cs="楷体_GB2312"/>
          <w:kern w:val="0"/>
          <w:sz w:val="32"/>
          <w:szCs w:val="32"/>
        </w:rPr>
        <w:t>（三）</w:t>
      </w:r>
      <w:r>
        <w:rPr>
          <w:rFonts w:hint="eastAsia" w:ascii="Times New Roman" w:hAnsi="Times New Roman" w:eastAsia="仿宋_GB2312" w:cs="Times New Roman"/>
          <w:sz w:val="32"/>
          <w:szCs w:val="32"/>
        </w:rPr>
        <w:t>为便于工作联系，各责任单位要明确1名分管领导主抓示范区建设工作，同时选配1名责任心强、熟悉部门业务的同志为联络员。各部门要将分管领导及联络员名单（见附件3）加盖公章扫描，于7月</w:t>
      </w:r>
      <w:r>
        <w:rPr>
          <w:rFonts w:hint="eastAsia" w:ascii="Times New Roman" w:hAnsi="Times New Roman" w:eastAsia="仿宋_GB2312" w:cs="Times New Roman"/>
          <w:sz w:val="32"/>
          <w:szCs w:val="32"/>
          <w:lang w:val="en-US" w:eastAsia="zh-CN"/>
        </w:rPr>
        <w:t>30</w:t>
      </w:r>
      <w:r>
        <w:rPr>
          <w:rFonts w:hint="eastAsia" w:ascii="Times New Roman" w:hAnsi="Times New Roman" w:eastAsia="仿宋_GB2312" w:cs="Times New Roman"/>
          <w:sz w:val="32"/>
          <w:szCs w:val="32"/>
        </w:rPr>
        <w:t>日前报县慢性病综合防控示范区建设工作领导小组办公室。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联系人：李云，联系电话：0539—2101758，邮箱：tcxmbcjbgs@163.com。</w:t>
      </w:r>
    </w:p>
    <w:p>
      <w:pPr>
        <w:spacing w:line="560" w:lineRule="exact"/>
        <w:rPr>
          <w:rFonts w:ascii="Times New Roman" w:hAnsi="Times New Roman" w:eastAsia="黑体" w:cs="Times New Roman"/>
          <w:sz w:val="32"/>
          <w:szCs w:val="32"/>
        </w:rPr>
      </w:pPr>
    </w:p>
    <w:p>
      <w:pPr>
        <w:spacing w:line="560" w:lineRule="exact"/>
        <w:rPr>
          <w:rFonts w:ascii="Times New Roman" w:hAnsi="Times New Roman" w:eastAsia="仿宋_GB2312" w:cs="Times New Roman"/>
          <w:sz w:val="32"/>
          <w:szCs w:val="32"/>
        </w:rPr>
        <w:sectPr>
          <w:pgSz w:w="11906" w:h="16838"/>
          <w:pgMar w:top="1814" w:right="1587" w:bottom="1701" w:left="1587" w:header="851" w:footer="992" w:gutter="0"/>
          <w:pgNumType w:fmt="decimal"/>
          <w:cols w:space="425" w:num="1"/>
          <w:docGrid w:type="lines" w:linePitch="312" w:charSpace="0"/>
        </w:sectPr>
      </w:pPr>
    </w:p>
    <w:p>
      <w:pPr>
        <w:spacing w:line="560" w:lineRule="exact"/>
        <w:rPr>
          <w:rFonts w:ascii="黑体" w:hAnsi="黑体" w:eastAsia="黑体" w:cs="黑体"/>
          <w:sz w:val="32"/>
          <w:szCs w:val="32"/>
        </w:rPr>
      </w:pPr>
      <w:r>
        <w:rPr>
          <w:rFonts w:hint="eastAsia" w:ascii="黑体" w:hAnsi="黑体" w:eastAsia="黑体" w:cs="黑体"/>
          <w:sz w:val="32"/>
          <w:szCs w:val="32"/>
        </w:rPr>
        <w:t>附件3</w:t>
      </w:r>
    </w:p>
    <w:p>
      <w:pPr>
        <w:spacing w:line="56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郯城县慢性病综合防控示范区建设复审工作联络员统计表</w:t>
      </w:r>
    </w:p>
    <w:p>
      <w:pPr>
        <w:spacing w:line="560" w:lineRule="exact"/>
        <w:jc w:val="center"/>
        <w:rPr>
          <w:rFonts w:ascii="Times New Roman" w:hAnsi="Times New Roman" w:eastAsia="文星仿宋" w:cs="Times New Roman"/>
          <w:sz w:val="32"/>
          <w:szCs w:val="32"/>
        </w:rPr>
      </w:pPr>
    </w:p>
    <w:p>
      <w:pPr>
        <w:spacing w:line="56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单位（公章）：</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11"/>
        <w:gridCol w:w="1035"/>
        <w:gridCol w:w="1665"/>
        <w:gridCol w:w="2100"/>
        <w:gridCol w:w="264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1560" w:type="dxa"/>
            <w:vMerge w:val="restart"/>
            <w:noWrap/>
            <w:vAlign w:val="center"/>
          </w:tcPr>
          <w:p>
            <w:pPr>
              <w:spacing w:line="560" w:lineRule="exact"/>
              <w:jc w:val="center"/>
              <w:rPr>
                <w:rFonts w:ascii="Times New Roman" w:hAnsi="Times New Roman" w:eastAsia="黑体" w:cs="Times New Roman"/>
                <w:sz w:val="32"/>
                <w:szCs w:val="32"/>
              </w:rPr>
            </w:pPr>
          </w:p>
        </w:tc>
        <w:tc>
          <w:tcPr>
            <w:tcW w:w="1711" w:type="dxa"/>
            <w:vMerge w:val="restart"/>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姓名</w:t>
            </w:r>
          </w:p>
        </w:tc>
        <w:tc>
          <w:tcPr>
            <w:tcW w:w="1035" w:type="dxa"/>
            <w:vMerge w:val="restart"/>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性别</w:t>
            </w:r>
          </w:p>
        </w:tc>
        <w:tc>
          <w:tcPr>
            <w:tcW w:w="1665" w:type="dxa"/>
            <w:vMerge w:val="restart"/>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职务</w:t>
            </w:r>
          </w:p>
        </w:tc>
        <w:tc>
          <w:tcPr>
            <w:tcW w:w="4740" w:type="dxa"/>
            <w:gridSpan w:val="2"/>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联系电话</w:t>
            </w:r>
          </w:p>
        </w:tc>
        <w:tc>
          <w:tcPr>
            <w:tcW w:w="1913" w:type="dxa"/>
            <w:vMerge w:val="restart"/>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备注（微信号）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60" w:type="dxa"/>
            <w:vMerge w:val="continue"/>
            <w:noWrap/>
            <w:vAlign w:val="center"/>
          </w:tcPr>
          <w:p>
            <w:pPr>
              <w:spacing w:line="560" w:lineRule="exact"/>
              <w:jc w:val="center"/>
              <w:rPr>
                <w:rFonts w:ascii="Times New Roman" w:hAnsi="Times New Roman" w:eastAsia="文星仿宋" w:cs="Times New Roman"/>
                <w:sz w:val="32"/>
                <w:szCs w:val="32"/>
              </w:rPr>
            </w:pPr>
          </w:p>
        </w:tc>
        <w:tc>
          <w:tcPr>
            <w:tcW w:w="1711" w:type="dxa"/>
            <w:vMerge w:val="continue"/>
            <w:noWrap/>
            <w:vAlign w:val="center"/>
          </w:tcPr>
          <w:p>
            <w:pPr>
              <w:spacing w:line="560" w:lineRule="exact"/>
              <w:jc w:val="center"/>
              <w:rPr>
                <w:rFonts w:ascii="Times New Roman" w:hAnsi="Times New Roman" w:eastAsia="文星仿宋" w:cs="Times New Roman"/>
                <w:sz w:val="32"/>
                <w:szCs w:val="32"/>
              </w:rPr>
            </w:pPr>
          </w:p>
        </w:tc>
        <w:tc>
          <w:tcPr>
            <w:tcW w:w="1035" w:type="dxa"/>
            <w:vMerge w:val="continue"/>
            <w:noWrap/>
            <w:vAlign w:val="center"/>
          </w:tcPr>
          <w:p>
            <w:pPr>
              <w:spacing w:line="560" w:lineRule="exact"/>
              <w:jc w:val="center"/>
              <w:rPr>
                <w:rFonts w:ascii="Times New Roman" w:hAnsi="Times New Roman" w:eastAsia="文星仿宋" w:cs="Times New Roman"/>
                <w:sz w:val="32"/>
                <w:szCs w:val="32"/>
              </w:rPr>
            </w:pPr>
          </w:p>
        </w:tc>
        <w:tc>
          <w:tcPr>
            <w:tcW w:w="1665" w:type="dxa"/>
            <w:vMerge w:val="continue"/>
            <w:noWrap/>
            <w:vAlign w:val="center"/>
          </w:tcPr>
          <w:p>
            <w:pPr>
              <w:spacing w:line="560" w:lineRule="exact"/>
              <w:jc w:val="center"/>
              <w:rPr>
                <w:rFonts w:ascii="Times New Roman" w:hAnsi="Times New Roman" w:eastAsia="文星仿宋" w:cs="Times New Roman"/>
                <w:sz w:val="32"/>
                <w:szCs w:val="32"/>
              </w:rPr>
            </w:pPr>
          </w:p>
        </w:tc>
        <w:tc>
          <w:tcPr>
            <w:tcW w:w="2100" w:type="dxa"/>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办公</w:t>
            </w:r>
          </w:p>
        </w:tc>
        <w:tc>
          <w:tcPr>
            <w:tcW w:w="2640" w:type="dxa"/>
            <w:noWrap/>
            <w:vAlign w:val="center"/>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手机</w:t>
            </w:r>
          </w:p>
        </w:tc>
        <w:tc>
          <w:tcPr>
            <w:tcW w:w="1913" w:type="dxa"/>
            <w:vMerge w:val="continue"/>
            <w:noWrap/>
            <w:vAlign w:val="center"/>
          </w:tcPr>
          <w:p>
            <w:pPr>
              <w:spacing w:line="560" w:lineRule="exact"/>
              <w:jc w:val="center"/>
              <w:rPr>
                <w:rFonts w:ascii="Times New Roman" w:hAnsi="Times New Roman" w:eastAsia="文星仿宋"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60" w:type="dxa"/>
            <w:noWrap/>
            <w:vAlign w:val="center"/>
          </w:tcPr>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分管领导</w:t>
            </w:r>
          </w:p>
        </w:tc>
        <w:tc>
          <w:tcPr>
            <w:tcW w:w="1711" w:type="dxa"/>
            <w:noWrap/>
            <w:vAlign w:val="center"/>
          </w:tcPr>
          <w:p>
            <w:pPr>
              <w:spacing w:line="560" w:lineRule="exact"/>
              <w:jc w:val="center"/>
              <w:rPr>
                <w:rFonts w:ascii="Times New Roman" w:hAnsi="Times New Roman" w:eastAsia="文星仿宋" w:cs="Times New Roman"/>
                <w:sz w:val="32"/>
                <w:szCs w:val="32"/>
              </w:rPr>
            </w:pPr>
          </w:p>
        </w:tc>
        <w:tc>
          <w:tcPr>
            <w:tcW w:w="1035" w:type="dxa"/>
            <w:noWrap/>
            <w:vAlign w:val="center"/>
          </w:tcPr>
          <w:p>
            <w:pPr>
              <w:spacing w:line="560" w:lineRule="exact"/>
              <w:jc w:val="center"/>
              <w:rPr>
                <w:rFonts w:ascii="Times New Roman" w:hAnsi="Times New Roman" w:eastAsia="文星仿宋" w:cs="Times New Roman"/>
                <w:sz w:val="32"/>
                <w:szCs w:val="32"/>
              </w:rPr>
            </w:pPr>
          </w:p>
        </w:tc>
        <w:tc>
          <w:tcPr>
            <w:tcW w:w="1665" w:type="dxa"/>
            <w:noWrap/>
            <w:vAlign w:val="center"/>
          </w:tcPr>
          <w:p>
            <w:pPr>
              <w:spacing w:line="560" w:lineRule="exact"/>
              <w:jc w:val="center"/>
              <w:rPr>
                <w:rFonts w:ascii="Times New Roman" w:hAnsi="Times New Roman" w:eastAsia="文星仿宋" w:cs="Times New Roman"/>
                <w:sz w:val="32"/>
                <w:szCs w:val="32"/>
              </w:rPr>
            </w:pPr>
          </w:p>
        </w:tc>
        <w:tc>
          <w:tcPr>
            <w:tcW w:w="2100" w:type="dxa"/>
            <w:noWrap/>
            <w:vAlign w:val="center"/>
          </w:tcPr>
          <w:p>
            <w:pPr>
              <w:spacing w:line="560" w:lineRule="exact"/>
              <w:jc w:val="center"/>
              <w:rPr>
                <w:rFonts w:ascii="Times New Roman" w:hAnsi="Times New Roman" w:eastAsia="文星仿宋" w:cs="Times New Roman"/>
                <w:sz w:val="32"/>
                <w:szCs w:val="32"/>
              </w:rPr>
            </w:pPr>
          </w:p>
        </w:tc>
        <w:tc>
          <w:tcPr>
            <w:tcW w:w="2640" w:type="dxa"/>
            <w:noWrap/>
            <w:vAlign w:val="center"/>
          </w:tcPr>
          <w:p>
            <w:pPr>
              <w:spacing w:line="560" w:lineRule="exact"/>
              <w:jc w:val="center"/>
              <w:rPr>
                <w:rFonts w:ascii="Times New Roman" w:hAnsi="Times New Roman" w:eastAsia="文星仿宋" w:cs="Times New Roman"/>
                <w:sz w:val="32"/>
                <w:szCs w:val="32"/>
              </w:rPr>
            </w:pPr>
          </w:p>
        </w:tc>
        <w:tc>
          <w:tcPr>
            <w:tcW w:w="1913" w:type="dxa"/>
            <w:noWrap/>
            <w:vAlign w:val="center"/>
          </w:tcPr>
          <w:p>
            <w:pPr>
              <w:spacing w:line="560" w:lineRule="exact"/>
              <w:jc w:val="center"/>
              <w:rPr>
                <w:rFonts w:ascii="Times New Roman" w:hAnsi="Times New Roman" w:eastAsia="文星仿宋"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60" w:type="dxa"/>
            <w:noWrap/>
            <w:vAlign w:val="center"/>
          </w:tcPr>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联络员</w:t>
            </w:r>
          </w:p>
        </w:tc>
        <w:tc>
          <w:tcPr>
            <w:tcW w:w="1711" w:type="dxa"/>
            <w:noWrap/>
            <w:vAlign w:val="center"/>
          </w:tcPr>
          <w:p>
            <w:pPr>
              <w:spacing w:line="560" w:lineRule="exact"/>
              <w:jc w:val="center"/>
              <w:rPr>
                <w:rFonts w:ascii="Times New Roman" w:hAnsi="Times New Roman" w:eastAsia="文星仿宋" w:cs="Times New Roman"/>
                <w:sz w:val="32"/>
                <w:szCs w:val="32"/>
              </w:rPr>
            </w:pPr>
          </w:p>
        </w:tc>
        <w:tc>
          <w:tcPr>
            <w:tcW w:w="1035" w:type="dxa"/>
            <w:noWrap/>
            <w:vAlign w:val="center"/>
          </w:tcPr>
          <w:p>
            <w:pPr>
              <w:spacing w:line="560" w:lineRule="exact"/>
              <w:jc w:val="center"/>
              <w:rPr>
                <w:rFonts w:ascii="Times New Roman" w:hAnsi="Times New Roman" w:eastAsia="文星仿宋" w:cs="Times New Roman"/>
                <w:sz w:val="32"/>
                <w:szCs w:val="32"/>
              </w:rPr>
            </w:pPr>
          </w:p>
        </w:tc>
        <w:tc>
          <w:tcPr>
            <w:tcW w:w="1665" w:type="dxa"/>
            <w:noWrap/>
            <w:vAlign w:val="center"/>
          </w:tcPr>
          <w:p>
            <w:pPr>
              <w:spacing w:line="560" w:lineRule="exact"/>
              <w:jc w:val="center"/>
              <w:rPr>
                <w:rFonts w:ascii="Times New Roman" w:hAnsi="Times New Roman" w:eastAsia="文星仿宋" w:cs="Times New Roman"/>
                <w:sz w:val="32"/>
                <w:szCs w:val="32"/>
              </w:rPr>
            </w:pPr>
          </w:p>
        </w:tc>
        <w:tc>
          <w:tcPr>
            <w:tcW w:w="2100" w:type="dxa"/>
            <w:noWrap/>
            <w:vAlign w:val="center"/>
          </w:tcPr>
          <w:p>
            <w:pPr>
              <w:spacing w:line="560" w:lineRule="exact"/>
              <w:jc w:val="center"/>
              <w:rPr>
                <w:rFonts w:ascii="Times New Roman" w:hAnsi="Times New Roman" w:eastAsia="文星仿宋" w:cs="Times New Roman"/>
                <w:sz w:val="32"/>
                <w:szCs w:val="32"/>
              </w:rPr>
            </w:pPr>
          </w:p>
        </w:tc>
        <w:tc>
          <w:tcPr>
            <w:tcW w:w="2640" w:type="dxa"/>
            <w:noWrap/>
            <w:vAlign w:val="center"/>
          </w:tcPr>
          <w:p>
            <w:pPr>
              <w:spacing w:line="560" w:lineRule="exact"/>
              <w:jc w:val="center"/>
              <w:rPr>
                <w:rFonts w:ascii="Times New Roman" w:hAnsi="Times New Roman" w:eastAsia="文星仿宋" w:cs="Times New Roman"/>
                <w:sz w:val="32"/>
                <w:szCs w:val="32"/>
              </w:rPr>
            </w:pPr>
          </w:p>
        </w:tc>
        <w:tc>
          <w:tcPr>
            <w:tcW w:w="1913" w:type="dxa"/>
            <w:noWrap/>
            <w:vAlign w:val="center"/>
          </w:tcPr>
          <w:p>
            <w:pPr>
              <w:spacing w:line="560" w:lineRule="exact"/>
              <w:jc w:val="center"/>
              <w:rPr>
                <w:rFonts w:ascii="Times New Roman" w:hAnsi="Times New Roman" w:eastAsia="文星仿宋" w:cs="Times New Roman"/>
                <w:sz w:val="32"/>
                <w:szCs w:val="32"/>
              </w:rPr>
            </w:pPr>
          </w:p>
        </w:tc>
      </w:tr>
    </w:tbl>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sectPr>
          <w:pgSz w:w="16838" w:h="11906" w:orient="landscape"/>
          <w:pgMar w:top="1587" w:right="1814" w:bottom="1587" w:left="1701" w:header="851" w:footer="992" w:gutter="0"/>
          <w:pgNumType w:fmt="decimal"/>
          <w:cols w:space="720"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pacing w:val="-1"/>
          <w:w w:val="95"/>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center"/>
        <w:textAlignment w:val="auto"/>
        <w:rPr>
          <w:rFonts w:hint="eastAsia" w:ascii="仿宋_GB2312" w:hAnsi="仿宋_GB2312" w:eastAsia="仿宋_GB2312" w:cs="仿宋_GB2312"/>
          <w:spacing w:val="-1"/>
          <w:w w:val="95"/>
          <w:sz w:val="32"/>
          <w:szCs w:val="32"/>
          <w:lang w:val="en-US" w:eastAsia="zh-CN"/>
        </w:rPr>
      </w:pPr>
      <w:r>
        <w:rPr>
          <w:rFonts w:hint="eastAsia" w:ascii="仿宋_GB2312" w:hAnsi="仿宋_GB2312" w:eastAsia="仿宋_GB2312" w:cs="仿宋_GB2312"/>
          <w:spacing w:val="-1"/>
          <w:w w:val="95"/>
          <w:sz w:val="32"/>
          <w:szCs w:val="32"/>
          <w:lang w:val="en-US" w:eastAsia="zh-CN"/>
        </w:rPr>
        <w:t>郯政办字〔2021〕55号</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default" w:ascii="仿宋_GB2312" w:hAnsi="仿宋_GB2312" w:eastAsia="仿宋_GB2312" w:cs="仿宋_GB2312"/>
          <w:spacing w:val="-1"/>
          <w:w w:val="95"/>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center"/>
        <w:textAlignment w:val="auto"/>
        <w:rPr>
          <w:rFonts w:hint="eastAsia" w:ascii="方正小标宋简体" w:hAnsi="方正小标宋简体" w:eastAsia="方正小标宋简体" w:cs="方正小标宋简体"/>
          <w:spacing w:val="-1"/>
          <w:w w:val="95"/>
          <w:sz w:val="44"/>
          <w:szCs w:val="44"/>
          <w:lang w:val="en-US" w:eastAsia="zh-CN"/>
        </w:rPr>
      </w:pPr>
      <w:r>
        <w:rPr>
          <w:rFonts w:hint="eastAsia" w:ascii="方正小标宋简体" w:hAnsi="方正小标宋简体" w:eastAsia="方正小标宋简体" w:cs="方正小标宋简体"/>
          <w:spacing w:val="-1"/>
          <w:w w:val="95"/>
          <w:sz w:val="44"/>
          <w:szCs w:val="44"/>
          <w:lang w:val="en-US" w:eastAsia="zh-CN"/>
        </w:rPr>
        <w:t>郯城县人民政府办公室</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center"/>
        <w:textAlignment w:val="auto"/>
        <w:rPr>
          <w:rFonts w:hint="eastAsia" w:ascii="方正小标宋简体" w:hAnsi="方正小标宋简体" w:eastAsia="方正小标宋简体" w:cs="方正小标宋简体"/>
          <w:spacing w:val="-1"/>
          <w:w w:val="95"/>
          <w:sz w:val="44"/>
          <w:szCs w:val="44"/>
          <w:lang w:val="en-US" w:eastAsia="zh-CN"/>
        </w:rPr>
      </w:pPr>
      <w:r>
        <w:rPr>
          <w:rFonts w:hint="eastAsia" w:ascii="方正小标宋简体" w:hAnsi="方正小标宋简体" w:eastAsia="方正小标宋简体" w:cs="方正小标宋简体"/>
          <w:spacing w:val="-1"/>
          <w:w w:val="95"/>
          <w:sz w:val="44"/>
          <w:szCs w:val="44"/>
          <w:lang w:val="en-US" w:eastAsia="zh-CN"/>
        </w:rPr>
        <w:t>关于公布2020年度郯城县工业企业</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center"/>
        <w:textAlignment w:val="auto"/>
        <w:rPr>
          <w:rFonts w:hint="eastAsia" w:ascii="方正小标宋简体" w:hAnsi="方正小标宋简体" w:eastAsia="方正小标宋简体" w:cs="方正小标宋简体"/>
          <w:spacing w:val="-1"/>
          <w:w w:val="95"/>
          <w:sz w:val="44"/>
          <w:szCs w:val="44"/>
          <w:lang w:val="en-US" w:eastAsia="zh-CN"/>
        </w:rPr>
      </w:pPr>
      <w:r>
        <w:rPr>
          <w:rFonts w:hint="eastAsia" w:ascii="方正小标宋简体" w:hAnsi="方正小标宋简体" w:eastAsia="方正小标宋简体" w:cs="方正小标宋简体"/>
          <w:spacing w:val="-1"/>
          <w:w w:val="95"/>
          <w:sz w:val="44"/>
          <w:szCs w:val="44"/>
          <w:lang w:val="en-US" w:eastAsia="zh-CN"/>
        </w:rPr>
        <w:t>亩产效益评价结果的通知</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default" w:ascii="仿宋_GB2312" w:hAnsi="仿宋_GB2312" w:eastAsia="仿宋_GB2312" w:cs="仿宋_GB2312"/>
          <w:spacing w:val="-1"/>
          <w:w w:val="95"/>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
          <w:w w:val="95"/>
          <w:sz w:val="32"/>
          <w:szCs w:val="32"/>
        </w:rPr>
        <w:t>各</w:t>
      </w:r>
      <w:r>
        <w:rPr>
          <w:rFonts w:hint="eastAsia" w:ascii="仿宋_GB2312" w:hAnsi="仿宋_GB2312" w:eastAsia="仿宋_GB2312" w:cs="仿宋_GB2312"/>
          <w:spacing w:val="-1"/>
          <w:w w:val="95"/>
          <w:sz w:val="32"/>
          <w:szCs w:val="32"/>
          <w:lang w:eastAsia="zh-CN"/>
        </w:rPr>
        <w:t>乡镇人民政府、郯城街道办事处</w:t>
      </w:r>
      <w:r>
        <w:rPr>
          <w:rFonts w:hint="eastAsia" w:ascii="仿宋_GB2312" w:hAnsi="仿宋_GB2312" w:eastAsia="仿宋_GB2312" w:cs="仿宋_GB2312"/>
          <w:spacing w:val="-1"/>
          <w:w w:val="95"/>
          <w:sz w:val="32"/>
          <w:szCs w:val="32"/>
        </w:rPr>
        <w:t>，</w:t>
      </w:r>
      <w:r>
        <w:rPr>
          <w:rFonts w:hint="eastAsia" w:ascii="仿宋_GB2312" w:hAnsi="仿宋_GB2312" w:eastAsia="仿宋_GB2312" w:cs="仿宋_GB2312"/>
          <w:spacing w:val="-1"/>
          <w:w w:val="95"/>
          <w:sz w:val="32"/>
          <w:szCs w:val="32"/>
          <w:lang w:val="en-US" w:eastAsia="zh-CN"/>
        </w:rPr>
        <w:t>县直</w:t>
      </w:r>
      <w:r>
        <w:rPr>
          <w:rFonts w:hint="eastAsia" w:ascii="仿宋_GB2312" w:hAnsi="仿宋_GB2312" w:eastAsia="仿宋_GB2312" w:cs="仿宋_GB2312"/>
          <w:spacing w:val="-1"/>
          <w:w w:val="95"/>
          <w:sz w:val="32"/>
          <w:szCs w:val="32"/>
          <w:lang w:eastAsia="zh-CN"/>
        </w:rPr>
        <w:t>有关部门、</w:t>
      </w:r>
      <w:r>
        <w:rPr>
          <w:rFonts w:hint="eastAsia" w:ascii="仿宋_GB2312" w:hAnsi="仿宋_GB2312" w:eastAsia="仿宋_GB2312" w:cs="仿宋_GB2312"/>
          <w:spacing w:val="-1"/>
          <w:w w:val="95"/>
          <w:sz w:val="32"/>
          <w:szCs w:val="32"/>
        </w:rPr>
        <w:t>单位</w:t>
      </w:r>
      <w:r>
        <w:rPr>
          <w:rFonts w:hint="eastAsia" w:ascii="仿宋_GB2312" w:hAnsi="仿宋_GB2312" w:eastAsia="仿宋_GB2312" w:cs="仿宋_GB2312"/>
          <w:spacing w:val="-1"/>
          <w:w w:val="95"/>
          <w:sz w:val="32"/>
          <w:szCs w:val="32"/>
          <w:lang w:eastAsia="zh-CN"/>
        </w:rPr>
        <w:t>，郯城经济开发区管委会，新村银杏产业开发区管委会</w:t>
      </w:r>
      <w:r>
        <w:rPr>
          <w:rFonts w:hint="eastAsia" w:ascii="仿宋_GB2312" w:hAnsi="仿宋_GB2312" w:eastAsia="仿宋_GB2312" w:cs="仿宋_GB2312"/>
          <w:sz w:val="32"/>
          <w:szCs w:val="32"/>
        </w:rPr>
        <w:t>：</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为进一步优化资源要素配置，加快工业企业转型升级，根据省、市“亩产效益”评价改革工作要求和《202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pacing w:val="-12"/>
          <w:sz w:val="32"/>
          <w:szCs w:val="32"/>
        </w:rPr>
        <w:t>年</w:t>
      </w:r>
      <w:r>
        <w:rPr>
          <w:rFonts w:hint="eastAsia" w:ascii="仿宋_GB2312" w:hAnsi="仿宋_GB2312" w:eastAsia="仿宋_GB2312" w:cs="仿宋_GB2312"/>
          <w:spacing w:val="-12"/>
          <w:sz w:val="32"/>
          <w:szCs w:val="32"/>
          <w:lang w:eastAsia="zh-CN"/>
        </w:rPr>
        <w:t>郯城县</w:t>
      </w:r>
      <w:r>
        <w:rPr>
          <w:rFonts w:hint="eastAsia" w:ascii="仿宋_GB2312" w:hAnsi="仿宋_GB2312" w:eastAsia="仿宋_GB2312" w:cs="仿宋_GB2312"/>
          <w:spacing w:val="-12"/>
          <w:sz w:val="32"/>
          <w:szCs w:val="32"/>
        </w:rPr>
        <w:t>“亩产效益”评价改革企业综合评价体系实</w:t>
      </w:r>
      <w:r>
        <w:rPr>
          <w:rFonts w:hint="eastAsia" w:ascii="仿宋_GB2312" w:hAnsi="仿宋_GB2312" w:eastAsia="仿宋_GB2312" w:cs="仿宋_GB2312"/>
          <w:spacing w:val="-3"/>
          <w:w w:val="95"/>
          <w:sz w:val="32"/>
          <w:szCs w:val="32"/>
        </w:rPr>
        <w:t>施</w:t>
      </w:r>
      <w:r>
        <w:rPr>
          <w:rFonts w:hint="eastAsia" w:ascii="仿宋_GB2312" w:hAnsi="仿宋_GB2312" w:eastAsia="仿宋_GB2312" w:cs="仿宋_GB2312"/>
          <w:sz w:val="32"/>
          <w:szCs w:val="32"/>
        </w:rPr>
        <w:t>办法》(</w:t>
      </w:r>
      <w:r>
        <w:rPr>
          <w:rFonts w:hint="eastAsia" w:ascii="仿宋_GB2312" w:hAnsi="仿宋_GB2312" w:eastAsia="仿宋_GB2312" w:cs="仿宋_GB2312"/>
          <w:sz w:val="32"/>
          <w:szCs w:val="32"/>
          <w:lang w:eastAsia="zh-CN"/>
        </w:rPr>
        <w:t>郯亩产办字</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号)等文件</w:t>
      </w:r>
      <w:r>
        <w:rPr>
          <w:rFonts w:hint="eastAsia" w:ascii="仿宋_GB2312" w:hAnsi="仿宋_GB2312" w:eastAsia="仿宋_GB2312" w:cs="仿宋_GB2312"/>
          <w:sz w:val="32"/>
          <w:szCs w:val="32"/>
          <w:lang w:eastAsia="zh-CN"/>
        </w:rPr>
        <w:t>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我</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对</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年度规模以上工业企业</w:t>
      </w:r>
      <w:r>
        <w:rPr>
          <w:rFonts w:hint="eastAsia" w:ascii="仿宋_GB2312" w:hAnsi="仿宋_GB2312" w:eastAsia="仿宋_GB2312" w:cs="仿宋_GB2312"/>
          <w:sz w:val="32"/>
          <w:szCs w:val="32"/>
          <w:lang w:eastAsia="zh-CN"/>
        </w:rPr>
        <w:t>和占地</w:t>
      </w:r>
      <w:r>
        <w:rPr>
          <w:rFonts w:hint="eastAsia" w:ascii="仿宋_GB2312" w:hAnsi="仿宋_GB2312" w:eastAsia="仿宋_GB2312" w:cs="仿宋_GB2312"/>
          <w:sz w:val="32"/>
          <w:szCs w:val="32"/>
          <w:lang w:val="en-US" w:eastAsia="zh-CN"/>
        </w:rPr>
        <w:t>3亩以上规模以下工业企业</w:t>
      </w:r>
      <w:r>
        <w:rPr>
          <w:rFonts w:hint="eastAsia" w:ascii="仿宋_GB2312" w:hAnsi="仿宋_GB2312" w:eastAsia="仿宋_GB2312" w:cs="仿宋_GB2312"/>
          <w:sz w:val="32"/>
          <w:szCs w:val="32"/>
        </w:rPr>
        <w:t>进行“亩产效益”综合评价。通过企业填报、部门审核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企业确认</w:t>
      </w:r>
      <w:r>
        <w:rPr>
          <w:rFonts w:hint="eastAsia" w:ascii="仿宋_GB2312" w:hAnsi="仿宋_GB2312" w:eastAsia="仿宋_GB2312" w:cs="仿宋_GB2312"/>
          <w:sz w:val="32"/>
          <w:szCs w:val="32"/>
          <w:lang w:eastAsia="zh-CN"/>
        </w:rPr>
        <w:t>、综合评价</w:t>
      </w:r>
      <w:r>
        <w:rPr>
          <w:rFonts w:hint="eastAsia" w:ascii="仿宋_GB2312" w:hAnsi="仿宋_GB2312" w:eastAsia="仿宋_GB2312" w:cs="仿宋_GB2312"/>
          <w:sz w:val="32"/>
          <w:szCs w:val="32"/>
        </w:rPr>
        <w:t>，形成评价结果</w:t>
      </w:r>
      <w:r>
        <w:rPr>
          <w:rFonts w:hint="eastAsia" w:ascii="仿宋_GB2312" w:hAnsi="仿宋_GB2312" w:eastAsia="仿宋_GB2312" w:cs="仿宋_GB2312"/>
          <w:sz w:val="32"/>
          <w:szCs w:val="32"/>
          <w:lang w:eastAsia="zh-CN"/>
        </w:rPr>
        <w:t>，经过公示等相关程序，</w:t>
      </w:r>
      <w:r>
        <w:rPr>
          <w:rFonts w:hint="eastAsia" w:ascii="仿宋_GB2312" w:hAnsi="仿宋_GB2312" w:eastAsia="仿宋_GB2312" w:cs="仿宋_GB2312"/>
          <w:sz w:val="32"/>
          <w:szCs w:val="32"/>
        </w:rPr>
        <w:t>现</w:t>
      </w:r>
      <w:r>
        <w:rPr>
          <w:rFonts w:hint="eastAsia" w:ascii="仿宋_GB2312" w:hAnsi="仿宋_GB2312" w:eastAsia="仿宋_GB2312" w:cs="仿宋_GB2312"/>
          <w:sz w:val="32"/>
          <w:szCs w:val="32"/>
          <w:lang w:eastAsia="zh-CN"/>
        </w:rPr>
        <w:t>予以</w:t>
      </w:r>
      <w:r>
        <w:rPr>
          <w:rFonts w:hint="eastAsia" w:ascii="仿宋_GB2312" w:hAnsi="仿宋_GB2312" w:eastAsia="仿宋_GB2312" w:cs="仿宋_GB2312"/>
          <w:sz w:val="32"/>
          <w:szCs w:val="32"/>
          <w:lang w:val="en-US" w:eastAsia="zh-CN"/>
        </w:rPr>
        <w:t>公布</w:t>
      </w:r>
      <w:r>
        <w:rPr>
          <w:rFonts w:hint="eastAsia" w:ascii="仿宋_GB2312" w:hAnsi="仿宋_GB2312" w:eastAsia="仿宋_GB2312" w:cs="仿宋_GB2312"/>
          <w:sz w:val="32"/>
          <w:szCs w:val="32"/>
          <w:lang w:eastAsia="zh-CN"/>
        </w:rPr>
        <w:t>。</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leftChars="0" w:right="280" w:firstLine="534" w:firstLineChars="167"/>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1.2020年度郯城县规模以上工业企业亩产效益评</w:t>
      </w: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价结果（化工、电子信息产业除外）</w:t>
      </w: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2.2020年度郯城县规模以上工业企业亩产效益评价结果（化工产业）</w:t>
      </w: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3.2020年度郯城县规模以上工业企业亩产效益评价结果（电子信息产业）</w:t>
      </w: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4.2020年度郯城县</w:t>
      </w:r>
      <w:r>
        <w:rPr>
          <w:rFonts w:hint="default" w:ascii="仿宋_GB2312" w:hAnsi="仿宋_GB2312" w:eastAsia="仿宋_GB2312" w:cs="仿宋_GB2312"/>
          <w:sz w:val="32"/>
          <w:szCs w:val="32"/>
          <w:lang w:val="en-US" w:eastAsia="zh-CN"/>
        </w:rPr>
        <w:t>规模以下工业企业</w:t>
      </w:r>
      <w:r>
        <w:rPr>
          <w:rFonts w:hint="eastAsia" w:ascii="仿宋_GB2312" w:hAnsi="仿宋_GB2312" w:eastAsia="仿宋_GB2312" w:cs="仿宋_GB2312"/>
          <w:sz w:val="32"/>
          <w:szCs w:val="32"/>
          <w:lang w:val="en-US" w:eastAsia="zh-CN"/>
        </w:rPr>
        <w:t>亩产效益评价结果</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郯城县人民政府办公室</w:t>
      </w:r>
    </w:p>
    <w:p>
      <w:pPr>
        <w:pStyle w:val="4"/>
        <w:keepNext w:val="0"/>
        <w:keepLines w:val="0"/>
        <w:pageBreakBefore w:val="0"/>
        <w:widowControl w:val="0"/>
        <w:kinsoku/>
        <w:wordWrap w:val="0"/>
        <w:overflowPunct/>
        <w:topLinePunct w:val="0"/>
        <w:autoSpaceDE/>
        <w:autoSpaceDN/>
        <w:bidi w:val="0"/>
        <w:adjustRightInd/>
        <w:snapToGrid/>
        <w:spacing w:before="22" w:line="560" w:lineRule="exact"/>
        <w:ind w:left="103" w:right="28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2021年8月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before="22" w:line="560" w:lineRule="exact"/>
        <w:ind w:left="103" w:right="280"/>
        <w:jc w:val="both"/>
        <w:textAlignment w:val="auto"/>
        <w:rPr>
          <w:rFonts w:hint="eastAsia" w:ascii="仿宋_GB2312" w:hAnsi="仿宋_GB2312" w:eastAsia="仿宋_GB2312" w:cs="仿宋_GB2312"/>
          <w:sz w:val="32"/>
          <w:szCs w:val="32"/>
        </w:rPr>
      </w:pP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pPr>
    </w:p>
    <w:p>
      <w:pPr>
        <w:pStyle w:val="4"/>
        <w:rPr>
          <w:rFonts w:hint="eastAsia" w:ascii="仿宋_GB2312" w:hAnsi="仿宋_GB2312" w:eastAsia="仿宋_GB2312" w:cs="仿宋_GB2312"/>
          <w:sz w:val="32"/>
          <w:szCs w:val="32"/>
          <w:lang w:val="en-US" w:eastAsia="zh-CN"/>
        </w:rPr>
        <w:sectPr>
          <w:pgSz w:w="11906" w:h="16838"/>
          <w:pgMar w:top="1814" w:right="1587" w:bottom="1701" w:left="1587" w:header="851" w:footer="992" w:gutter="0"/>
          <w:pgNumType w:fmt="decimal"/>
          <w:cols w:space="720" w:num="1"/>
          <w:docGrid w:type="lines" w:linePitch="312" w:charSpace="0"/>
        </w:sectPr>
      </w:pPr>
    </w:p>
    <w:tbl>
      <w:tblPr>
        <w:tblStyle w:val="10"/>
        <w:tblW w:w="105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81"/>
        <w:gridCol w:w="1169"/>
        <w:gridCol w:w="1059"/>
        <w:gridCol w:w="920"/>
        <w:gridCol w:w="920"/>
        <w:gridCol w:w="921"/>
        <w:gridCol w:w="3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8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32"/>
                <w:szCs w:val="32"/>
                <w:u w:val="none"/>
                <w:lang w:val="en-US" w:eastAsia="zh-CN" w:bidi="ar"/>
              </w:rPr>
              <w:t>附件1</w:t>
            </w:r>
          </w:p>
        </w:tc>
        <w:tc>
          <w:tcPr>
            <w:tcW w:w="1515" w:type="dxa"/>
            <w:tcBorders>
              <w:top w:val="nil"/>
              <w:left w:val="nil"/>
              <w:bottom w:val="nil"/>
              <w:right w:val="nil"/>
            </w:tcBorders>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1365" w:type="dxa"/>
            <w:tcBorders>
              <w:top w:val="nil"/>
              <w:left w:val="nil"/>
              <w:bottom w:val="nil"/>
              <w:right w:val="nil"/>
            </w:tcBorders>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915"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975"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960"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1920" w:type="dxa"/>
            <w:tcBorders>
              <w:top w:val="nil"/>
              <w:left w:val="nil"/>
              <w:bottom w:val="nil"/>
              <w:right w:val="nil"/>
            </w:tcBorders>
            <w:shd w:val="clear" w:color="auto" w:fill="FFFFFF"/>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10545"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44"/>
                <w:szCs w:val="44"/>
                <w:u w:val="none"/>
              </w:rPr>
            </w:pPr>
            <w:r>
              <w:rPr>
                <w:rStyle w:val="19"/>
                <w:rFonts w:eastAsia="宋体"/>
                <w:lang w:val="en-US" w:eastAsia="zh-CN" w:bidi="ar"/>
              </w:rPr>
              <w:t>2020</w:t>
            </w:r>
            <w:r>
              <w:rPr>
                <w:rStyle w:val="20"/>
                <w:lang w:val="en-US" w:eastAsia="zh-CN" w:bidi="ar"/>
              </w:rPr>
              <w:t>年度郯城县规模以上工业企业亩产效益评价结果</w:t>
            </w:r>
            <w:r>
              <w:rPr>
                <w:rStyle w:val="19"/>
                <w:rFonts w:eastAsia="宋体"/>
                <w:lang w:val="en-US" w:eastAsia="zh-CN" w:bidi="ar"/>
              </w:rPr>
              <w:br w:type="textWrapping"/>
            </w:r>
            <w:r>
              <w:rPr>
                <w:rStyle w:val="20"/>
                <w:lang w:val="en-US" w:eastAsia="zh-CN" w:bidi="ar"/>
              </w:rPr>
              <w:t>（化工、电子信息产业除外）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1"/>
                <w:lang w:val="en-US" w:eastAsia="zh-CN" w:bidi="ar"/>
              </w:rPr>
              <w:t>企业名称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1"/>
                <w:lang w:val="en-US" w:eastAsia="zh-CN" w:bidi="ar"/>
              </w:rPr>
              <w:t>所属产业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2"/>
                <w:lang w:val="en-US" w:eastAsia="zh-CN" w:bidi="ar"/>
              </w:rPr>
              <w:t>评价得分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2"/>
                <w:lang w:val="en-US" w:eastAsia="zh-CN" w:bidi="ar"/>
              </w:rPr>
              <w:t>全县排名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2"/>
                <w:lang w:val="en-US" w:eastAsia="zh-CN" w:bidi="ar"/>
              </w:rPr>
              <w:t>产业排名</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2"/>
                <w:lang w:val="en-US" w:eastAsia="zh-CN" w:bidi="ar"/>
              </w:rPr>
              <w:t>评价级别</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2"/>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临沂润盈工艺品有限公司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141.06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临沂利华纸业有限公司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127.18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郯城业宏建筑材料有限公司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127.05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临沂沂和饲料有限公司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郯城润红混凝土有限公司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112.52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山东合创新材料有限公司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110.58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临沂元兴混凝土有限公司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110.21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郯城秀尔家居有限公司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109.28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临沂凯通混凝土有限公司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103.59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郯城容玮建筑材料有限公司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郯城美泰家居制品有限公司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95.74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亩均税收</w:t>
            </w:r>
            <w:r>
              <w:rPr>
                <w:rStyle w:val="25"/>
                <w:rFonts w:eastAsia="宋体"/>
                <w:lang w:val="en-US" w:eastAsia="zh-CN" w:bidi="ar"/>
              </w:rPr>
              <w:t>12</w:t>
            </w:r>
            <w:r>
              <w:rPr>
                <w:rStyle w:val="24"/>
                <w:rFonts w:hAnsi="Times New Roman"/>
                <w:lang w:val="en-US" w:eastAsia="zh-CN" w:bidi="ar"/>
              </w:rPr>
              <w:t>万元以上且税收过</w:t>
            </w:r>
            <w:r>
              <w:rPr>
                <w:rStyle w:val="25"/>
                <w:rFonts w:eastAsia="宋体"/>
                <w:lang w:val="en-US" w:eastAsia="zh-CN" w:bidi="ar"/>
              </w:rPr>
              <w:t>100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郯城县启源工艺品有限公司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95.22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亩均税收</w:t>
            </w:r>
            <w:r>
              <w:rPr>
                <w:rStyle w:val="25"/>
                <w:rFonts w:eastAsia="宋体"/>
                <w:lang w:val="en-US" w:eastAsia="zh-CN" w:bidi="ar"/>
              </w:rPr>
              <w:t>12</w:t>
            </w:r>
            <w:r>
              <w:rPr>
                <w:rStyle w:val="24"/>
                <w:rFonts w:hAnsi="Times New Roman"/>
                <w:lang w:val="en-US" w:eastAsia="zh-CN" w:bidi="ar"/>
              </w:rPr>
              <w:t>万元以上且税收过</w:t>
            </w:r>
            <w:r>
              <w:rPr>
                <w:rStyle w:val="25"/>
                <w:rFonts w:eastAsia="宋体"/>
                <w:lang w:val="en-US" w:eastAsia="zh-CN" w:bidi="ar"/>
              </w:rPr>
              <w:t>100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临沂昀柳工艺品有限公司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88.67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亩均税收</w:t>
            </w:r>
            <w:r>
              <w:rPr>
                <w:rStyle w:val="25"/>
                <w:rFonts w:eastAsia="宋体"/>
                <w:lang w:val="en-US" w:eastAsia="zh-CN" w:bidi="ar"/>
              </w:rPr>
              <w:t>12</w:t>
            </w:r>
            <w:r>
              <w:rPr>
                <w:rStyle w:val="24"/>
                <w:rFonts w:hAnsi="Times New Roman"/>
                <w:lang w:val="en-US" w:eastAsia="zh-CN" w:bidi="ar"/>
              </w:rPr>
              <w:t>万元以上且税收过</w:t>
            </w:r>
            <w:r>
              <w:rPr>
                <w:rStyle w:val="25"/>
                <w:rFonts w:eastAsia="宋体"/>
                <w:lang w:val="en-US" w:eastAsia="zh-CN" w:bidi="ar"/>
              </w:rPr>
              <w:t>100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临沂乾源工艺品有限公司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亩均税收</w:t>
            </w:r>
            <w:r>
              <w:rPr>
                <w:rStyle w:val="25"/>
                <w:rFonts w:eastAsia="宋体"/>
                <w:lang w:val="en-US" w:eastAsia="zh-CN" w:bidi="ar"/>
              </w:rPr>
              <w:t>12</w:t>
            </w:r>
            <w:r>
              <w:rPr>
                <w:rStyle w:val="24"/>
                <w:rFonts w:hAnsi="Times New Roman"/>
                <w:lang w:val="en-US" w:eastAsia="zh-CN" w:bidi="ar"/>
              </w:rPr>
              <w:t>万元以上且税收过</w:t>
            </w:r>
            <w:r>
              <w:rPr>
                <w:rStyle w:val="25"/>
                <w:rFonts w:eastAsia="宋体"/>
                <w:lang w:val="en-US" w:eastAsia="zh-CN" w:bidi="ar"/>
              </w:rPr>
              <w:t>100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东隆</w:t>
            </w:r>
            <w:r>
              <w:rPr>
                <w:rStyle w:val="26"/>
                <w:rFonts w:eastAsia="宋体"/>
                <w:lang w:val="en-US" w:eastAsia="zh-CN" w:bidi="ar"/>
              </w:rPr>
              <w:t>(</w:t>
            </w:r>
            <w:r>
              <w:rPr>
                <w:rStyle w:val="23"/>
                <w:rFonts w:hAnsi="Times New Roman"/>
                <w:lang w:val="en-US" w:eastAsia="zh-CN" w:bidi="ar"/>
              </w:rPr>
              <w:t>郯城</w:t>
            </w:r>
            <w:r>
              <w:rPr>
                <w:rStyle w:val="26"/>
                <w:rFonts w:eastAsia="宋体"/>
                <w:lang w:val="en-US" w:eastAsia="zh-CN" w:bidi="ar"/>
              </w:rPr>
              <w:t>)</w:t>
            </w:r>
            <w:r>
              <w:rPr>
                <w:rStyle w:val="23"/>
                <w:rFonts w:hAnsi="Times New Roman"/>
                <w:lang w:val="en-US" w:eastAsia="zh-CN" w:bidi="ar"/>
              </w:rPr>
              <w:t>服装有限公司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71.31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w:t>
            </w:r>
            <w:r>
              <w:rPr>
                <w:rStyle w:val="25"/>
                <w:rFonts w:eastAsia="宋体"/>
                <w:lang w:val="en-US" w:eastAsia="zh-CN" w:bidi="ar"/>
              </w:rPr>
              <w:t>500</w:t>
            </w:r>
            <w:r>
              <w:rPr>
                <w:rStyle w:val="24"/>
                <w:rFonts w:hAnsi="Times New Roman"/>
                <w:lang w:val="en-US" w:eastAsia="zh-CN" w:bidi="ar"/>
              </w:rPr>
              <w:t>万</w:t>
            </w:r>
            <w:r>
              <w:rPr>
                <w:rStyle w:val="25"/>
                <w:rFonts w:eastAsia="宋体"/>
                <w:lang w:val="en-US" w:eastAsia="zh-CN" w:bidi="ar"/>
              </w:rPr>
              <w:t>-1000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临沂臻丽服饰有限公司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亩均税收</w:t>
            </w:r>
            <w:r>
              <w:rPr>
                <w:rStyle w:val="25"/>
                <w:rFonts w:eastAsia="宋体"/>
                <w:lang w:val="en-US" w:eastAsia="zh-CN" w:bidi="ar"/>
              </w:rPr>
              <w:t>12</w:t>
            </w:r>
            <w:r>
              <w:rPr>
                <w:rStyle w:val="24"/>
                <w:rFonts w:hAnsi="Times New Roman"/>
                <w:lang w:val="en-US" w:eastAsia="zh-CN" w:bidi="ar"/>
              </w:rPr>
              <w:t>万元以上且税收过</w:t>
            </w:r>
            <w:r>
              <w:rPr>
                <w:rStyle w:val="25"/>
                <w:rFonts w:eastAsia="宋体"/>
                <w:lang w:val="en-US" w:eastAsia="zh-CN" w:bidi="ar"/>
              </w:rPr>
              <w:t>102</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临沂顺亿高尔夫球制品有限公司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48.37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当年度实际税收</w:t>
            </w:r>
            <w:r>
              <w:rPr>
                <w:rStyle w:val="25"/>
                <w:rFonts w:eastAsia="宋体"/>
                <w:lang w:val="en-US" w:eastAsia="zh-CN" w:bidi="ar"/>
              </w:rPr>
              <w:t>1000</w:t>
            </w:r>
            <w:r>
              <w:rPr>
                <w:rStyle w:val="24"/>
                <w:rFonts w:hAnsi="Times New Roman"/>
                <w:lang w:val="en-US" w:eastAsia="zh-CN" w:bidi="ar"/>
              </w:rPr>
              <w:t>万元（含）以上且不存在否决项所列违法违规行为的企业，直接列为</w:t>
            </w:r>
            <w:r>
              <w:rPr>
                <w:rStyle w:val="25"/>
                <w:rFonts w:eastAsia="宋体"/>
                <w:lang w:val="en-US" w:eastAsia="zh-CN" w:bidi="ar"/>
              </w:rPr>
              <w:t>A</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郯城县福尔美工艺品厂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郯城县德永木材加工厂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103.52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临沂国程家具有限公司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97.84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郯城华盛木业有限公司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临沂和兴环保科技有限公司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95.92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临沂琦轩服饰有限公司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90.04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临沂佳泰家居有限公司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89.33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郯城中峰商砼有限公司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85.76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郯城县东林木业有限公司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85.35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郯城德惠饲料有限公司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85.13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山东郯润生态食品有限公司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84.08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郯城县达利工艺品有限公司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83.65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临沂双材木制品有限公司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79.48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郯城旺侬饲料有限公司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79.45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郯城华彩混凝土有限公司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临沂润龙装饰材料有限公司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78.30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临沂华特装饰材料有限公司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78.14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郯城旺侬禽业有限公司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77.68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临沂和创饲料有限公司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75.91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临沂市金固混凝土有限公司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75.32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郯城良适纺织用品有限公司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75.09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山东悦邦特种纸有限公司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74.56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山东八达面粉有限公司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73.99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郯城县广发米业有限公司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73.08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山东中汇管业有限公司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72.95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临沂鑫恒纸业有限公司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72.56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山东百诺建材有限公司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61.16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w:t>
            </w:r>
            <w:r>
              <w:rPr>
                <w:rStyle w:val="25"/>
                <w:rFonts w:eastAsia="宋体"/>
                <w:lang w:val="en-US" w:eastAsia="zh-CN" w:bidi="ar"/>
              </w:rPr>
              <w:t>500</w:t>
            </w:r>
            <w:r>
              <w:rPr>
                <w:rStyle w:val="24"/>
                <w:rFonts w:hAnsi="Times New Roman"/>
                <w:lang w:val="en-US" w:eastAsia="zh-CN" w:bidi="ar"/>
              </w:rPr>
              <w:t>万</w:t>
            </w:r>
            <w:r>
              <w:rPr>
                <w:rStyle w:val="25"/>
                <w:rFonts w:eastAsia="宋体"/>
                <w:lang w:val="en-US" w:eastAsia="zh-CN" w:bidi="ar"/>
              </w:rPr>
              <w:t>-1000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山东彬伟装饰材料有限公司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55.99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w:t>
            </w:r>
            <w:r>
              <w:rPr>
                <w:rStyle w:val="25"/>
                <w:rFonts w:eastAsia="宋体"/>
                <w:lang w:val="en-US" w:eastAsia="zh-CN" w:bidi="ar"/>
              </w:rPr>
              <w:t>500</w:t>
            </w:r>
            <w:r>
              <w:rPr>
                <w:rStyle w:val="24"/>
                <w:rFonts w:hAnsi="Times New Roman"/>
                <w:lang w:val="en-US" w:eastAsia="zh-CN" w:bidi="ar"/>
              </w:rPr>
              <w:t>万</w:t>
            </w:r>
            <w:r>
              <w:rPr>
                <w:rStyle w:val="25"/>
                <w:rFonts w:eastAsia="宋体"/>
                <w:lang w:val="en-US" w:eastAsia="zh-CN" w:bidi="ar"/>
              </w:rPr>
              <w:t>-1000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山东鲁南新材料股份有限公司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45.97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w:t>
            </w:r>
            <w:r>
              <w:rPr>
                <w:rStyle w:val="25"/>
                <w:rFonts w:eastAsia="宋体"/>
                <w:lang w:val="en-US" w:eastAsia="zh-CN" w:bidi="ar"/>
              </w:rPr>
              <w:t>500</w:t>
            </w:r>
            <w:r>
              <w:rPr>
                <w:rStyle w:val="24"/>
                <w:rFonts w:hAnsi="Times New Roman"/>
                <w:lang w:val="en-US" w:eastAsia="zh-CN" w:bidi="ar"/>
              </w:rPr>
              <w:t>万</w:t>
            </w:r>
            <w:r>
              <w:rPr>
                <w:rStyle w:val="25"/>
                <w:rFonts w:eastAsia="宋体"/>
                <w:lang w:val="en-US" w:eastAsia="zh-CN" w:bidi="ar"/>
              </w:rPr>
              <w:t>-1000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临沂大将军建陶有限公司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42.53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w:t>
            </w:r>
            <w:r>
              <w:rPr>
                <w:rStyle w:val="25"/>
                <w:rFonts w:eastAsia="宋体"/>
                <w:lang w:val="en-US" w:eastAsia="zh-CN" w:bidi="ar"/>
              </w:rPr>
              <w:t>500</w:t>
            </w:r>
            <w:r>
              <w:rPr>
                <w:rStyle w:val="24"/>
                <w:rFonts w:hAnsi="Times New Roman"/>
                <w:lang w:val="en-US" w:eastAsia="zh-CN" w:bidi="ar"/>
              </w:rPr>
              <w:t>万</w:t>
            </w:r>
            <w:r>
              <w:rPr>
                <w:rStyle w:val="25"/>
                <w:rFonts w:eastAsia="宋体"/>
                <w:lang w:val="en-US" w:eastAsia="zh-CN" w:bidi="ar"/>
              </w:rPr>
              <w:t>-1000</w:t>
            </w:r>
            <w:r>
              <w:rPr>
                <w:rStyle w:val="24"/>
                <w:rFonts w:hAnsi="Times New Roman"/>
                <w:lang w:val="en-US" w:eastAsia="zh-CN" w:bidi="ar"/>
              </w:rPr>
              <w:t>万上调一档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郯城隆源木业有限公司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69.37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山东盛泽机械有限公司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67.87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山东亨嘉纸业有限公司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65.70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临沂丰大饲料有限公司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65.59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郯城丰润粮机配件有限公司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65.34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郯城县鹏程印务有限公司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64.99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临沂天勤塑业有限公司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63.91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临沂产钧五金工具有限公司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61.65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山东双泰食品有限公司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山东胜亚机械有限公司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60.58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临沂金能电力铁塔制造有限公司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59.49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郯城绿健农产品有限公司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58.99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山东博士乐液压有限公司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56.51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临沂市宝华面业有限公司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56.32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临沂江镇丝绸时装有限公司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54.41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山东华星铝业有限公司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53.41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郯城县勤华面粉有限公司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53.10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临沂檀都新型建材有限公司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53.05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临沂益匹马食品有限公司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47.85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纳税过百万且不存在否决项所列违法违规行为的企业原则上不列为</w:t>
            </w:r>
            <w:r>
              <w:rPr>
                <w:rStyle w:val="25"/>
                <w:rFonts w:eastAsia="宋体"/>
                <w:lang w:val="en-US" w:eastAsia="zh-CN" w:bidi="ar"/>
              </w:rPr>
              <w:t>D</w:t>
            </w:r>
            <w:r>
              <w:rPr>
                <w:rStyle w:val="24"/>
                <w:rFonts w:hAnsi="Times New Roman"/>
                <w:lang w:val="en-US" w:eastAsia="zh-CN" w:bidi="ar"/>
              </w:rPr>
              <w:t>类，综合评价得分为</w:t>
            </w:r>
            <w:r>
              <w:rPr>
                <w:rStyle w:val="25"/>
                <w:rFonts w:eastAsia="宋体"/>
                <w:lang w:val="en-US" w:eastAsia="zh-CN" w:bidi="ar"/>
              </w:rPr>
              <w:t>D</w:t>
            </w:r>
            <w:r>
              <w:rPr>
                <w:rStyle w:val="24"/>
                <w:rFonts w:hAnsi="Times New Roman"/>
                <w:lang w:val="en-US" w:eastAsia="zh-CN" w:bidi="ar"/>
              </w:rPr>
              <w:t>类的，升为</w:t>
            </w:r>
            <w:r>
              <w:rPr>
                <w:rStyle w:val="25"/>
                <w:rFonts w:eastAsia="宋体"/>
                <w:lang w:val="en-US" w:eastAsia="zh-CN" w:bidi="ar"/>
              </w:rPr>
              <w:t>C</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郯城县顺源纺织有限公司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45.20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原则上当年入规企业参评的不列入</w:t>
            </w:r>
            <w:r>
              <w:rPr>
                <w:rStyle w:val="25"/>
                <w:rFonts w:eastAsia="宋体"/>
                <w:lang w:val="en-US" w:eastAsia="zh-CN" w:bidi="ar"/>
              </w:rPr>
              <w:t>D</w:t>
            </w:r>
            <w:r>
              <w:rPr>
                <w:rStyle w:val="24"/>
                <w:rFonts w:hAnsi="Times New Roman"/>
                <w:lang w:val="en-US" w:eastAsia="zh-CN" w:bidi="ar"/>
              </w:rPr>
              <w:t>类企业。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帝龙新材料（临沂）有限公司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45.09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纳税过百万且不存在否决项所列违法违规行为的企业原则上不列为</w:t>
            </w:r>
            <w:r>
              <w:rPr>
                <w:rStyle w:val="25"/>
                <w:rFonts w:eastAsia="宋体"/>
                <w:lang w:val="en-US" w:eastAsia="zh-CN" w:bidi="ar"/>
              </w:rPr>
              <w:t>D</w:t>
            </w:r>
            <w:r>
              <w:rPr>
                <w:rStyle w:val="24"/>
                <w:rFonts w:hAnsi="Times New Roman"/>
                <w:lang w:val="en-US" w:eastAsia="zh-CN" w:bidi="ar"/>
              </w:rPr>
              <w:t>类，综合评价得分为</w:t>
            </w:r>
            <w:r>
              <w:rPr>
                <w:rStyle w:val="25"/>
                <w:rFonts w:eastAsia="宋体"/>
                <w:lang w:val="en-US" w:eastAsia="zh-CN" w:bidi="ar"/>
              </w:rPr>
              <w:t>D</w:t>
            </w:r>
            <w:r>
              <w:rPr>
                <w:rStyle w:val="24"/>
                <w:rFonts w:hAnsi="Times New Roman"/>
                <w:lang w:val="en-US" w:eastAsia="zh-CN" w:bidi="ar"/>
              </w:rPr>
              <w:t>类的，升为</w:t>
            </w:r>
            <w:r>
              <w:rPr>
                <w:rStyle w:val="25"/>
                <w:rFonts w:eastAsia="宋体"/>
                <w:lang w:val="en-US" w:eastAsia="zh-CN" w:bidi="ar"/>
              </w:rPr>
              <w:t>C</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山东宜群木塑科技有限公司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43.39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纳税过百万且不存在否决项所列违法违规行为的企业原则上不列为</w:t>
            </w:r>
            <w:r>
              <w:rPr>
                <w:rStyle w:val="25"/>
                <w:rFonts w:eastAsia="宋体"/>
                <w:lang w:val="en-US" w:eastAsia="zh-CN" w:bidi="ar"/>
              </w:rPr>
              <w:t>D</w:t>
            </w:r>
            <w:r>
              <w:rPr>
                <w:rStyle w:val="24"/>
                <w:rFonts w:hAnsi="Times New Roman"/>
                <w:lang w:val="en-US" w:eastAsia="zh-CN" w:bidi="ar"/>
              </w:rPr>
              <w:t>类，综合评价得分为</w:t>
            </w:r>
            <w:r>
              <w:rPr>
                <w:rStyle w:val="25"/>
                <w:rFonts w:eastAsia="宋体"/>
                <w:lang w:val="en-US" w:eastAsia="zh-CN" w:bidi="ar"/>
              </w:rPr>
              <w:t>D</w:t>
            </w:r>
            <w:r>
              <w:rPr>
                <w:rStyle w:val="24"/>
                <w:rFonts w:hAnsi="Times New Roman"/>
                <w:lang w:val="en-US" w:eastAsia="zh-CN" w:bidi="ar"/>
              </w:rPr>
              <w:t>类的，升为</w:t>
            </w:r>
            <w:r>
              <w:rPr>
                <w:rStyle w:val="25"/>
                <w:rFonts w:eastAsia="宋体"/>
                <w:lang w:val="en-US" w:eastAsia="zh-CN" w:bidi="ar"/>
              </w:rPr>
              <w:t>C</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山东鸿瀚服装制品有限公司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服饰产业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40.83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原则上当年入规企业参评的不列入</w:t>
            </w:r>
            <w:r>
              <w:rPr>
                <w:rStyle w:val="25"/>
                <w:rFonts w:eastAsia="宋体"/>
                <w:lang w:val="en-US" w:eastAsia="zh-CN" w:bidi="ar"/>
              </w:rPr>
              <w:t>D</w:t>
            </w:r>
            <w:r>
              <w:rPr>
                <w:rStyle w:val="24"/>
                <w:rFonts w:hAnsi="Times New Roman"/>
                <w:lang w:val="en-US" w:eastAsia="zh-CN" w:bidi="ar"/>
              </w:rPr>
              <w:t>类企业。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临沂宏都建陶有限公司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38.09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纳税过百万且不存在否决项所列违法违规行为的企业原则上不列为</w:t>
            </w:r>
            <w:r>
              <w:rPr>
                <w:rStyle w:val="25"/>
                <w:rFonts w:eastAsia="宋体"/>
                <w:lang w:val="en-US" w:eastAsia="zh-CN" w:bidi="ar"/>
              </w:rPr>
              <w:t>D</w:t>
            </w:r>
            <w:r>
              <w:rPr>
                <w:rStyle w:val="24"/>
                <w:rFonts w:hAnsi="Times New Roman"/>
                <w:lang w:val="en-US" w:eastAsia="zh-CN" w:bidi="ar"/>
              </w:rPr>
              <w:t>类，综合评价得分为</w:t>
            </w:r>
            <w:r>
              <w:rPr>
                <w:rStyle w:val="25"/>
                <w:rFonts w:eastAsia="宋体"/>
                <w:lang w:val="en-US" w:eastAsia="zh-CN" w:bidi="ar"/>
              </w:rPr>
              <w:t>D</w:t>
            </w:r>
            <w:r>
              <w:rPr>
                <w:rStyle w:val="24"/>
                <w:rFonts w:hAnsi="Times New Roman"/>
                <w:lang w:val="en-US" w:eastAsia="zh-CN" w:bidi="ar"/>
              </w:rPr>
              <w:t>类的，升为</w:t>
            </w:r>
            <w:r>
              <w:rPr>
                <w:rStyle w:val="25"/>
                <w:rFonts w:eastAsia="宋体"/>
                <w:lang w:val="en-US" w:eastAsia="zh-CN" w:bidi="ar"/>
              </w:rPr>
              <w:t>C</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山东安森护理用品有限公司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医药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37.95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原则上当年入规企业参评的不列入</w:t>
            </w:r>
            <w:r>
              <w:rPr>
                <w:rStyle w:val="25"/>
                <w:rFonts w:eastAsia="宋体"/>
                <w:lang w:val="en-US" w:eastAsia="zh-CN" w:bidi="ar"/>
              </w:rPr>
              <w:t>D</w:t>
            </w:r>
            <w:r>
              <w:rPr>
                <w:rStyle w:val="24"/>
                <w:rFonts w:hAnsi="Times New Roman"/>
                <w:lang w:val="en-US" w:eastAsia="zh-CN" w:bidi="ar"/>
              </w:rPr>
              <w:t>类企业。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郯城东方红新型建材有限公司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24"/>
                <w:rFonts w:hAnsi="Times New Roman"/>
                <w:lang w:val="en-US" w:eastAsia="zh-CN" w:bidi="ar"/>
              </w:rPr>
              <w:t>纳税过百万且不存在否决项所列违法违规行为的企业原则上不列为</w:t>
            </w:r>
            <w:r>
              <w:rPr>
                <w:rStyle w:val="25"/>
                <w:rFonts w:eastAsia="宋体"/>
                <w:lang w:val="en-US" w:eastAsia="zh-CN" w:bidi="ar"/>
              </w:rPr>
              <w:t>D</w:t>
            </w:r>
            <w:r>
              <w:rPr>
                <w:rStyle w:val="24"/>
                <w:rFonts w:hAnsi="Times New Roman"/>
                <w:lang w:val="en-US" w:eastAsia="zh-CN" w:bidi="ar"/>
              </w:rPr>
              <w:t>类，综合评价得分为</w:t>
            </w:r>
            <w:r>
              <w:rPr>
                <w:rStyle w:val="25"/>
                <w:rFonts w:eastAsia="宋体"/>
                <w:lang w:val="en-US" w:eastAsia="zh-CN" w:bidi="ar"/>
              </w:rPr>
              <w:t>D</w:t>
            </w:r>
            <w:r>
              <w:rPr>
                <w:rStyle w:val="24"/>
                <w:rFonts w:hAnsi="Times New Roman"/>
                <w:lang w:val="en-US" w:eastAsia="zh-CN" w:bidi="ar"/>
              </w:rPr>
              <w:t>类的，升为</w:t>
            </w:r>
            <w:r>
              <w:rPr>
                <w:rStyle w:val="25"/>
                <w:rFonts w:eastAsia="宋体"/>
                <w:lang w:val="en-US" w:eastAsia="zh-CN" w:bidi="ar"/>
              </w:rPr>
              <w:t>C</w:t>
            </w:r>
            <w:r>
              <w:rPr>
                <w:rStyle w:val="24"/>
                <w:rFonts w:hAnsi="Times New Roman"/>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郯城美时莲食品有限公司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农副食品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52.99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山东仁和制药有限公司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医药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46.66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郯城峰升机械制造有限公司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45.62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山东赛诺家居科技有限公司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3"/>
                <w:rFonts w:hAnsi="Times New Roman"/>
                <w:lang w:val="en-US" w:eastAsia="zh-CN" w:bidi="ar"/>
              </w:rPr>
              <w:t>建材家居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36.69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0"/>
                <w:szCs w:val="20"/>
                <w:u w:val="none"/>
              </w:rPr>
            </w:pPr>
          </w:p>
        </w:tc>
      </w:tr>
    </w:tbl>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sectPr>
          <w:pgSz w:w="11906" w:h="16838"/>
          <w:pgMar w:top="1814" w:right="567" w:bottom="1701" w:left="567" w:header="851" w:footer="992" w:gutter="0"/>
          <w:pgNumType w:fmt="decimal"/>
          <w:cols w:space="425" w:num="1"/>
          <w:docGrid w:type="lines" w:linePitch="312" w:charSpace="0"/>
        </w:sectPr>
      </w:pPr>
    </w:p>
    <w:tbl>
      <w:tblPr>
        <w:tblStyle w:val="10"/>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76"/>
        <w:gridCol w:w="1176"/>
        <w:gridCol w:w="1170"/>
        <w:gridCol w:w="1096"/>
        <w:gridCol w:w="1096"/>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32"/>
                <w:szCs w:val="32"/>
                <w:u w:val="none"/>
                <w:lang w:val="en-US" w:eastAsia="zh-CN" w:bidi="ar"/>
              </w:rPr>
              <w:t>附件2</w:t>
            </w:r>
          </w:p>
        </w:tc>
        <w:tc>
          <w:tcPr>
            <w:tcW w:w="112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17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63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90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57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775"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6"/>
                <w:szCs w:val="36"/>
                <w:u w:val="none"/>
              </w:rPr>
            </w:pPr>
            <w:r>
              <w:rPr>
                <w:rFonts w:hint="default" w:ascii="Times New Roman" w:hAnsi="Times New Roman" w:eastAsia="宋体" w:cs="Times New Roman"/>
                <w:i w:val="0"/>
                <w:iCs w:val="0"/>
                <w:color w:val="000000"/>
                <w:kern w:val="0"/>
                <w:sz w:val="36"/>
                <w:szCs w:val="36"/>
                <w:u w:val="none"/>
                <w:lang w:val="en-US" w:eastAsia="zh-CN" w:bidi="ar"/>
              </w:rPr>
              <w:t>2020</w:t>
            </w:r>
            <w:r>
              <w:rPr>
                <w:rFonts w:ascii="方正小标宋简体" w:hAnsi="方正小标宋简体" w:eastAsia="方正小标宋简体" w:cs="方正小标宋简体"/>
                <w:i w:val="0"/>
                <w:iCs w:val="0"/>
                <w:color w:val="000000"/>
                <w:kern w:val="0"/>
                <w:sz w:val="36"/>
                <w:szCs w:val="36"/>
                <w:u w:val="none"/>
                <w:lang w:val="en-US" w:eastAsia="zh-CN" w:bidi="ar"/>
              </w:rPr>
              <w:t>年度郯城县规模以上工业企业亩产效益评价结果（化工产业）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企业名称</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所属产业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评价得分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产业排名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评价级别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备</w:t>
            </w:r>
            <w:r>
              <w:rPr>
                <w:rFonts w:hint="default" w:ascii="Times New Roman" w:hAnsi="Times New Roman" w:eastAsia="黑体" w:cs="Times New Roman"/>
                <w:i w:val="0"/>
                <w:iCs w:val="0"/>
                <w:color w:val="000000"/>
                <w:kern w:val="0"/>
                <w:sz w:val="22"/>
                <w:szCs w:val="22"/>
                <w:u w:val="none"/>
                <w:lang w:val="en-US" w:eastAsia="zh-CN" w:bidi="ar"/>
              </w:rPr>
              <w:t xml:space="preserve"> </w:t>
            </w:r>
            <w:r>
              <w:rPr>
                <w:rStyle w:val="27"/>
                <w:lang w:val="en-US" w:eastAsia="zh-CN" w:bidi="ar"/>
              </w:rPr>
              <w:t>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临沂市春明化工有限公司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119.05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郯城众一科环化工有限公司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山东阳煤恒通化工股份有限公司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63.05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当年度实际税收1000万元（含）以上且不存在否决项所列违法违规行为的企业，直接列为A类。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临沂泛泰新材料科技有限公司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92.38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山东誉中新材料股份有限公司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86.19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郯城方泰化工有限公司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69.65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临沂市德瑞高分子材料有限公司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66.10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山东利兴化工有限公司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62.28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临沂斯科瑞聚氨酯材料有限公司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57.89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山东品冠新材料有限公司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56.05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山东烁得化学科技股份有限公司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55.08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郯城恒昌碳素有限责任公司</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绿色化工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40.36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8"/>
                <w:szCs w:val="28"/>
                <w:u w:val="none"/>
              </w:rPr>
            </w:pPr>
          </w:p>
        </w:tc>
      </w:tr>
    </w:tbl>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sectPr>
          <w:pgSz w:w="11906" w:h="16838"/>
          <w:pgMar w:top="1814" w:right="1134" w:bottom="1587" w:left="1134" w:header="851" w:footer="992" w:gutter="0"/>
          <w:pgNumType w:fmt="decimal"/>
          <w:cols w:space="425" w:num="1"/>
          <w:docGrid w:type="lines" w:linePitch="312" w:charSpace="0"/>
        </w:sectPr>
      </w:pPr>
    </w:p>
    <w:tbl>
      <w:tblPr>
        <w:tblStyle w:val="10"/>
        <w:tblW w:w="82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96"/>
        <w:gridCol w:w="1245"/>
        <w:gridCol w:w="1185"/>
        <w:gridCol w:w="1176"/>
        <w:gridCol w:w="1176"/>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32"/>
                <w:szCs w:val="32"/>
                <w:u w:val="none"/>
                <w:lang w:val="en-US" w:eastAsia="zh-CN" w:bidi="ar"/>
              </w:rPr>
              <w:t>附件3</w:t>
            </w:r>
          </w:p>
        </w:tc>
        <w:tc>
          <w:tcPr>
            <w:tcW w:w="124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118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103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9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93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8295"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6"/>
                <w:szCs w:val="36"/>
                <w:u w:val="none"/>
              </w:rPr>
            </w:pPr>
            <w:r>
              <w:rPr>
                <w:rFonts w:hint="default" w:ascii="Times New Roman" w:hAnsi="Times New Roman" w:eastAsia="宋体" w:cs="Times New Roman"/>
                <w:i w:val="0"/>
                <w:iCs w:val="0"/>
                <w:color w:val="000000"/>
                <w:kern w:val="0"/>
                <w:sz w:val="36"/>
                <w:szCs w:val="36"/>
                <w:u w:val="none"/>
                <w:lang w:val="en-US" w:eastAsia="zh-CN" w:bidi="ar"/>
              </w:rPr>
              <w:t>2020</w:t>
            </w:r>
            <w:r>
              <w:rPr>
                <w:rStyle w:val="28"/>
                <w:lang w:val="en-US" w:eastAsia="zh-CN" w:bidi="ar"/>
              </w:rPr>
              <w:t>年度郯城县规模以上工业企业亩产效益评价结果</w:t>
            </w:r>
            <w:r>
              <w:rPr>
                <w:rFonts w:hint="default" w:ascii="Times New Roman" w:hAnsi="Times New Roman" w:eastAsia="宋体" w:cs="Times New Roman"/>
                <w:i w:val="0"/>
                <w:iCs w:val="0"/>
                <w:color w:val="000000"/>
                <w:kern w:val="0"/>
                <w:sz w:val="36"/>
                <w:szCs w:val="36"/>
                <w:u w:val="none"/>
                <w:lang w:val="en-US" w:eastAsia="zh-CN" w:bidi="ar"/>
              </w:rPr>
              <w:br w:type="textWrapping"/>
            </w:r>
            <w:r>
              <w:rPr>
                <w:rStyle w:val="28"/>
                <w:lang w:val="en-US" w:eastAsia="zh-CN" w:bidi="ar"/>
              </w:rPr>
              <w:t>（电子信息产业）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企业名称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所属产业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评价得分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产业排名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评价级别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w:t>
            </w:r>
            <w:r>
              <w:rPr>
                <w:rFonts w:hint="default" w:ascii="Times New Roman" w:hAnsi="Times New Roman" w:eastAsia="黑体" w:cs="Times New Roman"/>
                <w:i w:val="0"/>
                <w:iCs w:val="0"/>
                <w:color w:val="000000"/>
                <w:kern w:val="0"/>
                <w:sz w:val="24"/>
                <w:szCs w:val="24"/>
                <w:u w:val="none"/>
                <w:lang w:val="en-US" w:eastAsia="zh-CN" w:bidi="ar"/>
              </w:rPr>
              <w:t xml:space="preserve"> </w:t>
            </w:r>
            <w:r>
              <w:rPr>
                <w:rStyle w:val="29"/>
                <w:lang w:val="en-US" w:eastAsia="zh-CN" w:bidi="ar"/>
              </w:rPr>
              <w:t>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郯城鸿锐电子有限公司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126.07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山东隽宇电子科技有限公司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91.66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山东沂光集成电路有限公司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81.37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山东元捷电子科技有限公司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77.23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山东建荣教学设备有限公司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60.77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临沂天龙电力设备有限公司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52.18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山东晶驰石英有限公司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41.54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bl>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sectPr>
          <w:pgSz w:w="11906" w:h="16838"/>
          <w:pgMar w:top="1814" w:right="1587" w:bottom="1701" w:left="1587" w:header="851" w:footer="992" w:gutter="0"/>
          <w:pgNumType w:fmt="decimal"/>
          <w:cols w:space="425" w:num="1"/>
          <w:docGrid w:type="lines" w:linePitch="312" w:charSpace="0"/>
        </w:sectPr>
      </w:pPr>
    </w:p>
    <w:tbl>
      <w:tblPr>
        <w:tblStyle w:val="10"/>
        <w:tblW w:w="98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96"/>
        <w:gridCol w:w="1380"/>
        <w:gridCol w:w="1336"/>
        <w:gridCol w:w="1365"/>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Style w:val="30"/>
                <w:lang w:val="en-US" w:eastAsia="zh-CN" w:bidi="ar"/>
              </w:rPr>
              <w:t>附件</w:t>
            </w:r>
            <w:r>
              <w:rPr>
                <w:rFonts w:hint="default" w:ascii="Times New Roman" w:hAnsi="Times New Roman" w:eastAsia="宋体" w:cs="Times New Roman"/>
                <w:i w:val="0"/>
                <w:iCs w:val="0"/>
                <w:color w:val="000000"/>
                <w:kern w:val="0"/>
                <w:sz w:val="28"/>
                <w:szCs w:val="28"/>
                <w:u w:val="none"/>
                <w:lang w:val="en-US" w:eastAsia="zh-CN" w:bidi="ar"/>
              </w:rPr>
              <w:t>4</w:t>
            </w:r>
          </w:p>
        </w:tc>
        <w:tc>
          <w:tcPr>
            <w:tcW w:w="138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2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36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230" w:type="dxa"/>
            <w:tcBorders>
              <w:top w:val="nil"/>
              <w:left w:val="nil"/>
              <w:bottom w:val="nil"/>
              <w:right w:val="nil"/>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870"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40"/>
                <w:szCs w:val="40"/>
                <w:u w:val="none"/>
              </w:rPr>
            </w:pPr>
            <w:r>
              <w:rPr>
                <w:rFonts w:hint="default" w:ascii="Times New Roman" w:hAnsi="Times New Roman" w:eastAsia="宋体" w:cs="Times New Roman"/>
                <w:i w:val="0"/>
                <w:iCs w:val="0"/>
                <w:color w:val="000000"/>
                <w:kern w:val="0"/>
                <w:sz w:val="40"/>
                <w:szCs w:val="40"/>
                <w:u w:val="none"/>
                <w:lang w:val="en-US" w:eastAsia="zh-CN" w:bidi="ar"/>
              </w:rPr>
              <w:t>2020</w:t>
            </w:r>
            <w:r>
              <w:rPr>
                <w:rFonts w:ascii="方正小标宋简体" w:hAnsi="方正小标宋简体" w:eastAsia="方正小标宋简体" w:cs="方正小标宋简体"/>
                <w:i w:val="0"/>
                <w:iCs w:val="0"/>
                <w:color w:val="000000"/>
                <w:kern w:val="0"/>
                <w:sz w:val="40"/>
                <w:szCs w:val="40"/>
                <w:u w:val="none"/>
                <w:lang w:val="en-US" w:eastAsia="zh-CN" w:bidi="ar"/>
              </w:rPr>
              <w:t>年度郯城县规模以下工业企业亩产效益评价结果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企业名称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评价得分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全县排名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评价级别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郯城金泉新农业开发有限公司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126.81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临沂华彩工艺品有限公司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125.85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临沂市名仕卫生材料有限公司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105.85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郯城县腾源工艺品厂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105.38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郯城县恒昌卫生材料厂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100.09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临沂浩祥工艺品有限公司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临沂市华亮气体有限公司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山东聚众数字医学科技开发有限公司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84.61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郯城亿晶能源科技有限公司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77.74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山东拓顿换热设备有限公司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74.59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郯城县石泉工艺品有限公司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73.95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郯城兴顺木材加工厂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73.06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郯城盛帆旅游用品有限公司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71.40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郯城建宇木业有限公司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山东金胜家具有限公司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郯城兴田木业有限公司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郯城博林工艺品有限公司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53.16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临沂鹏盈工艺品有限公司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52.34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临沂晴轩工艺品有限公司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郯城雷诺服装有限公司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47.64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郯城县泓邦塑柄有限公司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45.72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临沂捷翎运动用品有限公司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44.80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临沂中联混凝土有限公司郯城分公司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87.58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临沂中联水泥有限公司郯城分公司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77.66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郯城浩诚木制品有限公司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44.78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郯城县高大制帽厂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43.26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临沂明峰工艺品有限公司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41.98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山东森森矿业新材料有限公司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41.90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郯城县云山防腐保温有限责任公司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38.42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郯城县春诚生物质燃料加工厂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37.52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郯城大华木业有限公司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36.99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郯城县宏宝源机械有限公司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36.86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郯城县祥峰服装有限公司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36.73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临沂广发科技电子有限公司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36.34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临沂众凝恒复合材料有限公司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郯城广顺工艺品有限公司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郯城诚成钢化玻璃有限公司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郯城县天源银杏有限责任公司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临沂艺峰工艺品有限公司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w:t>
            </w:r>
            <w:r>
              <w:rPr>
                <w:rFonts w:hint="eastAsia" w:ascii="宋体" w:hAnsi="宋体" w:eastAsia="宋体" w:cs="宋体"/>
                <w:i w:val="0"/>
                <w:iCs w:val="0"/>
                <w:color w:val="000000"/>
                <w:kern w:val="0"/>
                <w:sz w:val="28"/>
                <w:szCs w:val="28"/>
                <w:u w:val="none"/>
                <w:lang w:val="en-US" w:eastAsia="zh-CN" w:bidi="ar"/>
              </w:rPr>
              <w:t>魯</w:t>
            </w:r>
            <w:r>
              <w:rPr>
                <w:rFonts w:hint="eastAsia" w:ascii="仿宋_GB2312" w:hAnsi="Times New Roman" w:eastAsia="仿宋_GB2312" w:cs="仿宋_GB2312"/>
                <w:i w:val="0"/>
                <w:iCs w:val="0"/>
                <w:color w:val="000000"/>
                <w:kern w:val="0"/>
                <w:sz w:val="28"/>
                <w:szCs w:val="28"/>
                <w:u w:val="none"/>
                <w:lang w:val="en-US" w:eastAsia="zh-CN" w:bidi="ar"/>
              </w:rPr>
              <w:t>冠帽业有限公司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35.15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山东省深互电气有限公司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34.92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郯城裕兴木业有限公司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山东陆邦涂料有限公司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30.16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临沂通微科技有限公司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29.15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郯城圣强银杏有限公司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郯城祥泰工艺品有限公司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27.50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郯城县东发工艺品有限公司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26.31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郯城县品冠帽业有限公司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26.10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临沂新江钢木制品有限公司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25.20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郯城县凯源采沙机械有限公司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52.88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临沂羽让服饰有限公司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23.79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临沂乐家工艺品有限公司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23.69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郯城宝康银杏有限公司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23.26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郯城景涛工艺品有限公司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23.07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山东宝利新材料有限公司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山东鲁蒙莎制衣有限公司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21.75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郯城县华晨涂料有限公司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21.58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临沂士太运动用品有限公司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上鼎电子（郯城）有限公司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郯城县宏亚工艺品有限公司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20.89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郯城新民辉工艺有限公司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20.09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临沂天通新材料科技有限公司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19.65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山东壮口食品有限公司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18.90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郯城威亚五金工具有限公司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18.46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临沂美德工艺品有限公司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18.75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郯城东盛工艺品有限公司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17.68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山东普利斯林智能仪表有限公司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16.79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临沂雨泽再生资源有限公司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16.54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郯城广大建材厂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临沂旺禾装饰材料有限公司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山东淇水环保科技有限公司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郯城普利特饲料有限公司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郯城县天宇化工有限公司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临沂润泰新型建材有限公司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郯城盛泰食品有限公司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郯城和信工艺品有限公司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山东旭扬新能源有限公司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临沂赛普特工艺品有限公司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郯城乐亚特食品饮料有限公司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郯城县泰丰机械有限责任公司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郯城县诚信工艺品有限责任公司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临沂源码智能照明有限公司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山东坤瑞环保设备有限公司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郯城鑫柳工艺品有限公司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郯城县振鲁化工有限公司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郯城县全发工艺品有限公司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郯城县金鑫复合彩印厂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郯城县信宏工艺品厂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临沂袖成文具有限公司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临沂富力特服装有限公司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郯城县尚城毛毡厂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郯城佳明化工有限公司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郯城县华兴新型墙材有限公司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山东鹰驰涂料有限公司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临沂晟沂机械制造有限公司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临沂斯凯尔生物技术有限公司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7.15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临沂星越卫生用品有限公司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临沂民泰家居用品有限公司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6.39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郯城玉康厨房电器有限公司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2.18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临沂尚柳工艺品有限公司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临沂盈润新材料有限公司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18.37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郯城旺恒科技材料有限公司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16.48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8"/>
                <w:szCs w:val="28"/>
                <w:u w:val="none"/>
              </w:rPr>
            </w:pPr>
            <w:r>
              <w:rPr>
                <w:rFonts w:hint="eastAsia" w:ascii="仿宋_GB2312" w:hAnsi="Times New Roman" w:eastAsia="仿宋_GB2312" w:cs="仿宋_GB2312"/>
                <w:i w:val="0"/>
                <w:iCs w:val="0"/>
                <w:color w:val="000000"/>
                <w:kern w:val="0"/>
                <w:sz w:val="28"/>
                <w:szCs w:val="28"/>
                <w:u w:val="none"/>
                <w:lang w:val="en-US" w:eastAsia="zh-CN" w:bidi="ar"/>
              </w:rPr>
              <w:t>郯城恒泰新型建材有限公司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31"/>
                <w:rFonts w:ascii="宋体" w:hAnsi="Times New Roman" w:eastAsia="宋体" w:cs="宋体"/>
                <w:sz w:val="24"/>
                <w:szCs w:val="24"/>
                <w:lang w:val="en-US" w:eastAsia="zh-CN" w:bidi="ar"/>
              </w:rPr>
              <w:t>用地面积</w:t>
            </w:r>
            <w:r>
              <w:rPr>
                <w:rStyle w:val="32"/>
                <w:rFonts w:eastAsia="宋体"/>
                <w:lang w:val="en-US" w:eastAsia="zh-CN" w:bidi="ar"/>
              </w:rPr>
              <w:t>30</w:t>
            </w:r>
            <w:r>
              <w:rPr>
                <w:rStyle w:val="31"/>
                <w:rFonts w:ascii="宋体" w:hAnsi="Times New Roman" w:eastAsia="宋体" w:cs="宋体"/>
                <w:sz w:val="24"/>
                <w:szCs w:val="24"/>
                <w:lang w:val="en-US" w:eastAsia="zh-CN" w:bidi="ar"/>
              </w:rPr>
              <w:t>亩以上的规模以下企业评价等级下调一级（原评级为</w:t>
            </w:r>
            <w:r>
              <w:rPr>
                <w:rStyle w:val="32"/>
                <w:rFonts w:eastAsia="宋体"/>
                <w:lang w:val="en-US" w:eastAsia="zh-CN" w:bidi="ar"/>
              </w:rPr>
              <w:t>D</w:t>
            </w:r>
            <w:r>
              <w:rPr>
                <w:rStyle w:val="31"/>
                <w:rFonts w:ascii="宋体" w:hAnsi="Times New Roman" w:eastAsia="宋体" w:cs="宋体"/>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山东郯工液压科技有限公司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Style w:val="31"/>
                <w:rFonts w:hint="eastAsia" w:ascii="仿宋_GB2312" w:hAnsi="仿宋_GB2312" w:eastAsia="仿宋_GB2312" w:cs="仿宋_GB2312"/>
                <w:sz w:val="24"/>
                <w:szCs w:val="24"/>
                <w:lang w:val="en-US" w:eastAsia="zh-CN" w:bidi="ar"/>
              </w:rPr>
              <w:t>用地面积</w:t>
            </w:r>
            <w:r>
              <w:rPr>
                <w:rStyle w:val="32"/>
                <w:rFonts w:hint="eastAsia" w:ascii="仿宋_GB2312" w:hAnsi="仿宋_GB2312" w:eastAsia="仿宋_GB2312" w:cs="仿宋_GB2312"/>
                <w:lang w:val="en-US" w:eastAsia="zh-CN" w:bidi="ar"/>
              </w:rPr>
              <w:t>30</w:t>
            </w:r>
            <w:r>
              <w:rPr>
                <w:rStyle w:val="31"/>
                <w:rFonts w:hint="eastAsia" w:ascii="仿宋_GB2312" w:hAnsi="仿宋_GB2312" w:eastAsia="仿宋_GB2312" w:cs="仿宋_GB2312"/>
                <w:sz w:val="24"/>
                <w:szCs w:val="24"/>
                <w:lang w:val="en-US" w:eastAsia="zh-CN" w:bidi="ar"/>
              </w:rPr>
              <w:t>亩以上的规模以下企业评价等级下调一级（原评级为</w:t>
            </w:r>
            <w:r>
              <w:rPr>
                <w:rStyle w:val="32"/>
                <w:rFonts w:hint="eastAsia" w:ascii="仿宋_GB2312" w:hAnsi="仿宋_GB2312" w:eastAsia="仿宋_GB2312" w:cs="仿宋_GB2312"/>
                <w:lang w:val="en-US" w:eastAsia="zh-CN" w:bidi="ar"/>
              </w:rPr>
              <w:t>D</w:t>
            </w:r>
            <w:r>
              <w:rPr>
                <w:rStyle w:val="31"/>
                <w:rFonts w:hint="eastAsia" w:ascii="仿宋_GB2312" w:hAnsi="仿宋_GB2312" w:eastAsia="仿宋_GB2312" w:cs="仿宋_GB2312"/>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临沂奥凯再生资源利用有限公司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8.51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Style w:val="31"/>
                <w:rFonts w:hint="eastAsia" w:ascii="仿宋_GB2312" w:hAnsi="仿宋_GB2312" w:eastAsia="仿宋_GB2312" w:cs="仿宋_GB2312"/>
                <w:sz w:val="24"/>
                <w:szCs w:val="24"/>
                <w:lang w:val="en-US" w:eastAsia="zh-CN" w:bidi="ar"/>
              </w:rPr>
              <w:t>用地面积</w:t>
            </w:r>
            <w:r>
              <w:rPr>
                <w:rStyle w:val="32"/>
                <w:rFonts w:hint="eastAsia" w:ascii="仿宋_GB2312" w:hAnsi="仿宋_GB2312" w:eastAsia="仿宋_GB2312" w:cs="仿宋_GB2312"/>
                <w:lang w:val="en-US" w:eastAsia="zh-CN" w:bidi="ar"/>
              </w:rPr>
              <w:t>30</w:t>
            </w:r>
            <w:r>
              <w:rPr>
                <w:rStyle w:val="31"/>
                <w:rFonts w:hint="eastAsia" w:ascii="仿宋_GB2312" w:hAnsi="仿宋_GB2312" w:eastAsia="仿宋_GB2312" w:cs="仿宋_GB2312"/>
                <w:sz w:val="24"/>
                <w:szCs w:val="24"/>
                <w:lang w:val="en-US" w:eastAsia="zh-CN" w:bidi="ar"/>
              </w:rPr>
              <w:t>亩以上的规模以下企业评价等级下调一级（原评级为</w:t>
            </w:r>
            <w:r>
              <w:rPr>
                <w:rStyle w:val="32"/>
                <w:rFonts w:hint="eastAsia" w:ascii="仿宋_GB2312" w:hAnsi="仿宋_GB2312" w:eastAsia="仿宋_GB2312" w:cs="仿宋_GB2312"/>
                <w:lang w:val="en-US" w:eastAsia="zh-CN" w:bidi="ar"/>
              </w:rPr>
              <w:t>D</w:t>
            </w:r>
            <w:r>
              <w:rPr>
                <w:rStyle w:val="31"/>
                <w:rFonts w:hint="eastAsia" w:ascii="仿宋_GB2312" w:hAnsi="仿宋_GB2312" w:eastAsia="仿宋_GB2312" w:cs="仿宋_GB2312"/>
                <w:sz w:val="24"/>
                <w:szCs w:val="24"/>
                <w:lang w:val="en-US" w:eastAsia="zh-CN" w:bidi="ar"/>
              </w:rPr>
              <w:t>级的企业除外）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山东维宏经贸有限公司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D</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Style w:val="31"/>
                <w:rFonts w:hint="eastAsia" w:ascii="仿宋_GB2312" w:hAnsi="仿宋_GB2312" w:eastAsia="仿宋_GB2312" w:cs="仿宋_GB2312"/>
                <w:sz w:val="24"/>
                <w:szCs w:val="24"/>
                <w:lang w:val="en-US" w:eastAsia="zh-CN" w:bidi="ar"/>
              </w:rPr>
              <w:t>用地面积</w:t>
            </w:r>
            <w:r>
              <w:rPr>
                <w:rStyle w:val="32"/>
                <w:rFonts w:hint="eastAsia" w:ascii="仿宋_GB2312" w:hAnsi="仿宋_GB2312" w:eastAsia="仿宋_GB2312" w:cs="仿宋_GB2312"/>
                <w:lang w:val="en-US" w:eastAsia="zh-CN" w:bidi="ar"/>
              </w:rPr>
              <w:t>30</w:t>
            </w:r>
            <w:r>
              <w:rPr>
                <w:rStyle w:val="31"/>
                <w:rFonts w:hint="eastAsia" w:ascii="仿宋_GB2312" w:hAnsi="仿宋_GB2312" w:eastAsia="仿宋_GB2312" w:cs="仿宋_GB2312"/>
                <w:sz w:val="24"/>
                <w:szCs w:val="24"/>
                <w:lang w:val="en-US" w:eastAsia="zh-CN" w:bidi="ar"/>
              </w:rPr>
              <w:t>亩以上的规模以下企业评价等级下调一级（原评级为</w:t>
            </w:r>
            <w:r>
              <w:rPr>
                <w:rStyle w:val="32"/>
                <w:rFonts w:hint="eastAsia" w:ascii="仿宋_GB2312" w:hAnsi="仿宋_GB2312" w:eastAsia="仿宋_GB2312" w:cs="仿宋_GB2312"/>
                <w:lang w:val="en-US" w:eastAsia="zh-CN" w:bidi="ar"/>
              </w:rPr>
              <w:t>D</w:t>
            </w:r>
            <w:r>
              <w:rPr>
                <w:rStyle w:val="31"/>
                <w:rFonts w:hint="eastAsia" w:ascii="仿宋_GB2312" w:hAnsi="仿宋_GB2312" w:eastAsia="仿宋_GB2312" w:cs="仿宋_GB2312"/>
                <w:sz w:val="24"/>
                <w:szCs w:val="24"/>
                <w:lang w:val="en-US" w:eastAsia="zh-CN" w:bidi="ar"/>
              </w:rPr>
              <w:t>级的企业除外）</w:t>
            </w:r>
          </w:p>
        </w:tc>
      </w:tr>
    </w:tbl>
    <w:p>
      <w:pPr>
        <w:pStyle w:val="4"/>
        <w:rPr>
          <w:rFonts w:hint="eastAsia" w:ascii="仿宋_GB2312" w:hAnsi="仿宋_GB2312" w:eastAsia="仿宋_GB2312" w:cs="仿宋_GB2312"/>
          <w:sz w:val="32"/>
          <w:szCs w:val="32"/>
          <w:lang w:val="en-US" w:eastAsia="zh-CN"/>
        </w:rPr>
        <w:sectPr>
          <w:pgSz w:w="11906" w:h="16838"/>
          <w:pgMar w:top="1814" w:right="1587" w:bottom="1701" w:left="1587"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hint="eastAsia" w:ascii="仿宋_GB2312" w:hAnsi="Times New Roman" w:eastAsia="仿宋_GB2312" w:cs="Times New Roman"/>
          <w:sz w:val="32"/>
          <w:szCs w:val="32"/>
        </w:rPr>
      </w:pPr>
    </w:p>
    <w:p>
      <w:pPr>
        <w:pageBreakBefore w:val="0"/>
        <w:kinsoku/>
        <w:wordWrap/>
        <w:overflowPunct/>
        <w:topLinePunct w:val="0"/>
        <w:autoSpaceDE/>
        <w:autoSpaceDN/>
        <w:bidi w:val="0"/>
        <w:adjustRightInd/>
        <w:snapToGrid/>
        <w:spacing w:line="600" w:lineRule="exact"/>
        <w:jc w:val="center"/>
        <w:rPr>
          <w:rFonts w:ascii="仿宋_GB2312" w:hAnsi="Times New Roman" w:eastAsia="仿宋_GB2312" w:cs="Times New Roman"/>
          <w:sz w:val="32"/>
          <w:szCs w:val="32"/>
        </w:rPr>
      </w:pPr>
      <w:r>
        <w:rPr>
          <w:rFonts w:hint="eastAsia" w:ascii="仿宋_GB2312" w:hAnsi="Times New Roman" w:eastAsia="仿宋_GB2312" w:cs="Times New Roman"/>
          <w:sz w:val="32"/>
          <w:szCs w:val="32"/>
        </w:rPr>
        <w:t>郯政办字〔2021〕</w:t>
      </w:r>
      <w:r>
        <w:rPr>
          <w:rFonts w:hint="eastAsia" w:ascii="仿宋_GB2312" w:hAnsi="Times New Roman" w:eastAsia="仿宋_GB2312" w:cs="Times New Roman"/>
          <w:sz w:val="32"/>
          <w:szCs w:val="32"/>
          <w:lang w:val="en-US" w:eastAsia="zh-CN"/>
        </w:rPr>
        <w:t>52</w:t>
      </w:r>
      <w:r>
        <w:rPr>
          <w:rFonts w:hint="eastAsia" w:ascii="仿宋_GB2312" w:hAnsi="Times New Roman" w:eastAsia="仿宋_GB2312" w:cs="Times New Roman"/>
          <w:sz w:val="32"/>
          <w:szCs w:val="32"/>
        </w:rPr>
        <w:t>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333333"/>
          <w:spacing w:val="0"/>
          <w:sz w:val="44"/>
          <w:szCs w:val="44"/>
          <w:shd w:val="clear" w:color="auto"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pP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郯城县人民政府办公室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auto"/>
          <w:spacing w:val="0"/>
          <w:sz w:val="44"/>
          <w:szCs w:val="44"/>
          <w:shd w:val="clear" w:color="auto" w:fill="FFFFFF"/>
        </w:rPr>
      </w:pP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关于印发《</w:t>
      </w:r>
      <w:r>
        <w:rPr>
          <w:rFonts w:hint="eastAsia" w:ascii="方正小标宋简体" w:hAnsi="方正小标宋简体" w:eastAsia="方正小标宋简体" w:cs="方正小标宋简体"/>
          <w:b w:val="0"/>
          <w:bCs/>
          <w:color w:val="auto"/>
          <w:kern w:val="2"/>
          <w:sz w:val="44"/>
          <w:szCs w:val="44"/>
        </w:rPr>
        <w:t>关于进一步加强郯城县高标准农田建设项目管护工作的意见</w:t>
      </w: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》的通知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宋体" w:hAnsi="宋体" w:eastAsia="宋体" w:cs="宋体"/>
          <w:i w:val="0"/>
          <w:caps w:val="0"/>
          <w:color w:val="333333"/>
          <w:spacing w:val="0"/>
          <w:sz w:val="32"/>
          <w:szCs w:val="32"/>
          <w:shd w:val="clear" w:color="auto"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color="auto" w:fill="FFFFFF"/>
        </w:rPr>
        <w:t>各乡镇</w:t>
      </w:r>
      <w:r>
        <w:rPr>
          <w:rFonts w:hint="eastAsia" w:ascii="仿宋_GB2312" w:hAnsi="仿宋_GB2312" w:eastAsia="仿宋_GB2312" w:cs="仿宋_GB2312"/>
          <w:i w:val="0"/>
          <w:caps w:val="0"/>
          <w:color w:val="auto"/>
          <w:spacing w:val="0"/>
          <w:sz w:val="32"/>
          <w:szCs w:val="32"/>
          <w:shd w:val="clear" w:color="auto" w:fill="FFFFFF"/>
          <w:lang w:eastAsia="zh-CN"/>
        </w:rPr>
        <w:t>（街道）</w:t>
      </w:r>
      <w:r>
        <w:rPr>
          <w:rFonts w:hint="eastAsia" w:ascii="仿宋_GB2312" w:hAnsi="仿宋_GB2312" w:eastAsia="仿宋_GB2312" w:cs="仿宋_GB2312"/>
          <w:i w:val="0"/>
          <w:caps w:val="0"/>
          <w:color w:val="auto"/>
          <w:spacing w:val="0"/>
          <w:sz w:val="32"/>
          <w:szCs w:val="32"/>
          <w:shd w:val="clear" w:color="auto" w:fill="FFFFFF"/>
        </w:rPr>
        <w:t>人民政府</w:t>
      </w:r>
      <w:r>
        <w:rPr>
          <w:rFonts w:hint="eastAsia" w:ascii="仿宋_GB2312" w:hAnsi="仿宋_GB2312" w:eastAsia="仿宋_GB2312" w:cs="仿宋_GB2312"/>
          <w:i w:val="0"/>
          <w:caps w:val="0"/>
          <w:color w:val="auto"/>
          <w:spacing w:val="0"/>
          <w:sz w:val="32"/>
          <w:szCs w:val="32"/>
          <w:shd w:val="clear" w:color="auto" w:fill="FFFFFF"/>
          <w:lang w:eastAsia="zh-CN"/>
        </w:rPr>
        <w:t>（办事处）</w:t>
      </w:r>
      <w:r>
        <w:rPr>
          <w:rFonts w:hint="eastAsia" w:ascii="仿宋_GB2312" w:hAnsi="仿宋_GB2312" w:eastAsia="仿宋_GB2312" w:cs="仿宋_GB2312"/>
          <w:i w:val="0"/>
          <w:caps w:val="0"/>
          <w:color w:val="auto"/>
          <w:spacing w:val="0"/>
          <w:sz w:val="32"/>
          <w:szCs w:val="32"/>
          <w:shd w:val="clear" w:color="auto" w:fill="FFFFFF"/>
        </w:rPr>
        <w:t>，</w:t>
      </w:r>
      <w:r>
        <w:rPr>
          <w:rFonts w:hint="eastAsia" w:ascii="仿宋_GB2312" w:hAnsi="仿宋_GB2312" w:eastAsia="仿宋_GB2312" w:cs="仿宋_GB2312"/>
          <w:i w:val="0"/>
          <w:caps w:val="0"/>
          <w:color w:val="auto"/>
          <w:spacing w:val="0"/>
          <w:sz w:val="32"/>
          <w:szCs w:val="32"/>
          <w:shd w:val="clear" w:color="auto" w:fill="FFFFFF"/>
          <w:lang w:val="en-US" w:eastAsia="zh-CN"/>
        </w:rPr>
        <w:t>新村银杏产业开发区，</w:t>
      </w:r>
      <w:r>
        <w:rPr>
          <w:rFonts w:hint="eastAsia" w:ascii="仿宋_GB2312" w:hAnsi="仿宋_GB2312" w:eastAsia="仿宋_GB2312" w:cs="仿宋_GB2312"/>
          <w:i w:val="0"/>
          <w:caps w:val="0"/>
          <w:color w:val="auto"/>
          <w:spacing w:val="0"/>
          <w:sz w:val="32"/>
          <w:szCs w:val="32"/>
          <w:shd w:val="clear" w:color="auto" w:fill="FFFFFF"/>
        </w:rPr>
        <w:t>县</w:t>
      </w:r>
      <w:r>
        <w:rPr>
          <w:rFonts w:hint="eastAsia" w:ascii="仿宋_GB2312" w:hAnsi="仿宋_GB2312" w:eastAsia="仿宋_GB2312" w:cs="仿宋_GB2312"/>
          <w:i w:val="0"/>
          <w:caps w:val="0"/>
          <w:color w:val="auto"/>
          <w:spacing w:val="0"/>
          <w:sz w:val="32"/>
          <w:szCs w:val="32"/>
          <w:shd w:val="clear" w:color="auto" w:fill="FFFFFF"/>
          <w:lang w:eastAsia="zh-CN"/>
        </w:rPr>
        <w:t>直</w:t>
      </w:r>
      <w:r>
        <w:rPr>
          <w:rFonts w:hint="eastAsia" w:ascii="仿宋_GB2312" w:hAnsi="仿宋_GB2312" w:eastAsia="仿宋_GB2312" w:cs="仿宋_GB2312"/>
          <w:i w:val="0"/>
          <w:caps w:val="0"/>
          <w:color w:val="auto"/>
          <w:spacing w:val="0"/>
          <w:sz w:val="32"/>
          <w:szCs w:val="32"/>
          <w:shd w:val="clear" w:color="auto" w:fill="FFFFFF"/>
        </w:rPr>
        <w:t>有关部门：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color="auto" w:fill="FFFFFF"/>
        </w:rPr>
        <w:t>　　《关于进一步加强郯城县高标准农田建设项目管护工作的意见》已经县政府</w:t>
      </w:r>
      <w:r>
        <w:rPr>
          <w:rFonts w:hint="eastAsia" w:ascii="仿宋_GB2312" w:hAnsi="仿宋_GB2312" w:eastAsia="仿宋_GB2312" w:cs="仿宋_GB2312"/>
          <w:i w:val="0"/>
          <w:caps w:val="0"/>
          <w:color w:val="auto"/>
          <w:spacing w:val="0"/>
          <w:sz w:val="32"/>
          <w:szCs w:val="32"/>
          <w:shd w:val="clear" w:color="auto" w:fill="FFFFFF"/>
          <w:lang w:val="en-US" w:eastAsia="zh-CN"/>
        </w:rPr>
        <w:t>常务会议研究通过</w:t>
      </w:r>
      <w:r>
        <w:rPr>
          <w:rFonts w:hint="eastAsia" w:ascii="仿宋_GB2312" w:hAnsi="仿宋_GB2312" w:eastAsia="仿宋_GB2312" w:cs="仿宋_GB2312"/>
          <w:i w:val="0"/>
          <w:caps w:val="0"/>
          <w:color w:val="auto"/>
          <w:spacing w:val="0"/>
          <w:sz w:val="32"/>
          <w:szCs w:val="32"/>
          <w:shd w:val="clear" w:color="auto" w:fill="FFFFFF"/>
        </w:rPr>
        <w:t>，现印发给你们，请结合实际，认真贯彻执行。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right"/>
        <w:textAlignment w:val="top"/>
        <w:rPr>
          <w:rFonts w:hint="eastAsia" w:ascii="仿宋_GB2312" w:hAnsi="仿宋_GB2312" w:eastAsia="仿宋_GB2312" w:cs="仿宋_GB2312"/>
          <w:i w:val="0"/>
          <w:caps w:val="0"/>
          <w:color w:val="auto"/>
          <w:spacing w:val="0"/>
          <w:sz w:val="32"/>
          <w:szCs w:val="32"/>
          <w:shd w:val="clear" w:color="auto"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right"/>
        <w:textAlignment w:val="top"/>
        <w:rPr>
          <w:rFonts w:hint="eastAsia" w:ascii="仿宋_GB2312" w:hAnsi="仿宋_GB2312" w:eastAsia="仿宋_GB2312" w:cs="仿宋_GB2312"/>
          <w:i w:val="0"/>
          <w:caps w:val="0"/>
          <w:color w:val="auto"/>
          <w:spacing w:val="0"/>
          <w:sz w:val="32"/>
          <w:szCs w:val="32"/>
          <w:shd w:val="clear" w:color="auto" w:fill="FFFFFF"/>
          <w:lang w:val="en-US" w:eastAsia="zh-CN"/>
        </w:rPr>
      </w:pPr>
      <w:r>
        <w:rPr>
          <w:rFonts w:hint="eastAsia" w:ascii="仿宋_GB2312" w:hAnsi="仿宋_GB2312" w:eastAsia="仿宋_GB2312" w:cs="仿宋_GB2312"/>
          <w:i w:val="0"/>
          <w:caps w:val="0"/>
          <w:color w:val="auto"/>
          <w:spacing w:val="0"/>
          <w:sz w:val="32"/>
          <w:szCs w:val="32"/>
          <w:shd w:val="clear" w:color="auto" w:fill="FFFFFF"/>
        </w:rPr>
        <w:t>202</w:t>
      </w:r>
      <w:r>
        <w:rPr>
          <w:rFonts w:hint="eastAsia" w:ascii="仿宋_GB2312" w:hAnsi="仿宋_GB2312" w:eastAsia="仿宋_GB2312" w:cs="仿宋_GB2312"/>
          <w:i w:val="0"/>
          <w:caps w:val="0"/>
          <w:color w:val="auto"/>
          <w:spacing w:val="0"/>
          <w:sz w:val="32"/>
          <w:szCs w:val="32"/>
          <w:shd w:val="clear" w:color="auto" w:fill="FFFFFF"/>
          <w:lang w:val="en-US" w:eastAsia="zh-CN"/>
        </w:rPr>
        <w:t>1</w:t>
      </w:r>
      <w:r>
        <w:rPr>
          <w:rFonts w:hint="eastAsia" w:ascii="仿宋_GB2312" w:hAnsi="仿宋_GB2312" w:eastAsia="仿宋_GB2312" w:cs="仿宋_GB2312"/>
          <w:i w:val="0"/>
          <w:caps w:val="0"/>
          <w:color w:val="auto"/>
          <w:spacing w:val="0"/>
          <w:sz w:val="32"/>
          <w:szCs w:val="32"/>
          <w:shd w:val="clear" w:color="auto" w:fill="FFFFFF"/>
        </w:rPr>
        <w:t>年</w:t>
      </w:r>
      <w:r>
        <w:rPr>
          <w:rFonts w:hint="eastAsia" w:ascii="仿宋_GB2312" w:hAnsi="仿宋_GB2312" w:eastAsia="仿宋_GB2312" w:cs="仿宋_GB2312"/>
          <w:i w:val="0"/>
          <w:caps w:val="0"/>
          <w:color w:val="auto"/>
          <w:spacing w:val="0"/>
          <w:sz w:val="32"/>
          <w:szCs w:val="32"/>
          <w:shd w:val="clear" w:color="auto" w:fill="FFFFFF"/>
          <w:lang w:val="en-US" w:eastAsia="zh-CN"/>
        </w:rPr>
        <w:t>8</w:t>
      </w:r>
      <w:r>
        <w:rPr>
          <w:rFonts w:hint="eastAsia" w:ascii="仿宋_GB2312" w:hAnsi="仿宋_GB2312" w:eastAsia="仿宋_GB2312" w:cs="仿宋_GB2312"/>
          <w:i w:val="0"/>
          <w:caps w:val="0"/>
          <w:color w:val="auto"/>
          <w:spacing w:val="0"/>
          <w:sz w:val="32"/>
          <w:szCs w:val="32"/>
          <w:shd w:val="clear" w:color="auto" w:fill="FFFFFF"/>
        </w:rPr>
        <w:t>月</w:t>
      </w:r>
      <w:r>
        <w:rPr>
          <w:rFonts w:hint="eastAsia" w:ascii="仿宋_GB2312" w:hAnsi="仿宋_GB2312" w:eastAsia="仿宋_GB2312" w:cs="仿宋_GB2312"/>
          <w:i w:val="0"/>
          <w:caps w:val="0"/>
          <w:color w:val="auto"/>
          <w:spacing w:val="0"/>
          <w:sz w:val="32"/>
          <w:szCs w:val="32"/>
          <w:shd w:val="clear" w:color="auto" w:fill="FFFFFF"/>
          <w:lang w:val="en-US" w:eastAsia="zh-CN"/>
        </w:rPr>
        <w:t>5</w:t>
      </w:r>
      <w:r>
        <w:rPr>
          <w:rFonts w:hint="eastAsia" w:ascii="仿宋_GB2312" w:hAnsi="仿宋_GB2312" w:eastAsia="仿宋_GB2312" w:cs="仿宋_GB2312"/>
          <w:i w:val="0"/>
          <w:caps w:val="0"/>
          <w:color w:val="auto"/>
          <w:spacing w:val="0"/>
          <w:sz w:val="32"/>
          <w:szCs w:val="32"/>
          <w:shd w:val="clear" w:color="auto" w:fill="FFFFFF"/>
        </w:rPr>
        <w:t>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right"/>
        <w:textAlignment w:val="top"/>
        <w:rPr>
          <w:rFonts w:hint="eastAsia" w:ascii="仿宋_GB2312" w:hAnsi="仿宋_GB2312" w:eastAsia="仿宋_GB2312" w:cs="仿宋_GB2312"/>
          <w:i w:val="0"/>
          <w:caps w:val="0"/>
          <w:color w:val="auto"/>
          <w:spacing w:val="0"/>
          <w:sz w:val="32"/>
          <w:szCs w:val="32"/>
          <w:shd w:val="clear" w:color="auto" w:fill="FFFFFF"/>
          <w:lang w:val="en-US" w:eastAsia="zh-CN"/>
        </w:rPr>
      </w:pPr>
      <w:r>
        <w:rPr>
          <w:rFonts w:hint="eastAsia" w:ascii="仿宋_GB2312" w:hAnsi="仿宋_GB2312" w:eastAsia="仿宋_GB2312" w:cs="仿宋_GB2312"/>
          <w:i w:val="0"/>
          <w:caps w:val="0"/>
          <w:color w:val="auto"/>
          <w:spacing w:val="0"/>
          <w:sz w:val="32"/>
          <w:szCs w:val="32"/>
          <w:shd w:val="clear" w:color="auto" w:fill="FFFFFF"/>
          <w:lang w:val="en-US" w:eastAsia="zh-CN"/>
        </w:rPr>
        <w:t>郯城县人民政府办公室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top"/>
        <w:rPr>
          <w:rFonts w:hint="eastAsia" w:ascii="仿宋_GB2312" w:hAnsi="仿宋_GB2312" w:eastAsia="仿宋_GB2312" w:cs="仿宋_GB2312"/>
          <w:i w:val="0"/>
          <w:caps w:val="0"/>
          <w:color w:val="auto"/>
          <w:spacing w:val="0"/>
          <w:sz w:val="32"/>
          <w:szCs w:val="32"/>
          <w:shd w:val="clear" w:color="auto" w:fill="FFFFFF"/>
          <w:lang w:val="en-US" w:eastAsia="zh-CN"/>
        </w:rPr>
      </w:pPr>
      <w:r>
        <w:rPr>
          <w:rFonts w:hint="eastAsia" w:ascii="仿宋_GB2312" w:hAnsi="仿宋_GB2312" w:eastAsia="仿宋_GB2312" w:cs="仿宋_GB2312"/>
          <w:i w:val="0"/>
          <w:caps w:val="0"/>
          <w:color w:val="auto"/>
          <w:spacing w:val="0"/>
          <w:sz w:val="32"/>
          <w:szCs w:val="32"/>
          <w:shd w:val="clear" w:color="auto" w:fill="FFFFFF"/>
          <w:lang w:val="en-US" w:eastAsia="zh-CN"/>
        </w:rPr>
        <w:t>（此件公开发布）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left"/>
        <w:textAlignment w:val="top"/>
        <w:rPr>
          <w:rFonts w:hint="default" w:ascii="仿宋_GB2312" w:hAnsi="仿宋_GB2312" w:eastAsia="仿宋_GB2312" w:cs="仿宋_GB2312"/>
          <w:i w:val="0"/>
          <w:caps w:val="0"/>
          <w:color w:val="auto"/>
          <w:spacing w:val="0"/>
          <w:sz w:val="32"/>
          <w:szCs w:val="32"/>
          <w:shd w:val="clear" w:color="auto" w:fill="FFFFFF"/>
          <w:lang w:val="en-US" w:eastAsia="zh-CN"/>
        </w:rPr>
        <w:sectPr>
          <w:headerReference r:id="rId13" w:type="default"/>
          <w:footerReference r:id="rId14" w:type="default"/>
          <w:pgSz w:w="11906" w:h="16838"/>
          <w:pgMar w:top="1814" w:right="1587" w:bottom="1701" w:left="1587" w:header="851" w:footer="992" w:gutter="0"/>
          <w:pgNumType w:fmt="decimal"/>
          <w:cols w:space="720" w:num="1"/>
          <w:docGrid w:type="lines" w:linePitch="312" w:charSpace="0"/>
        </w:sectPr>
      </w:pPr>
    </w:p>
    <w:p>
      <w:pPr>
        <w:pStyle w:val="3"/>
        <w:pageBreakBefore w:val="0"/>
        <w:kinsoku/>
        <w:wordWrap/>
        <w:topLinePunct w:val="0"/>
        <w:bidi w:val="0"/>
        <w:adjustRightInd/>
        <w:snapToGrid/>
        <w:spacing w:beforeLines="0" w:afterLines="0" w:line="600" w:lineRule="exact"/>
        <w:jc w:val="center"/>
        <w:textAlignment w:val="auto"/>
        <w:rPr>
          <w:rFonts w:ascii="Times New Roman" w:hAnsi="Times New Roman"/>
          <w:b w:val="0"/>
          <w:bCs/>
          <w:kern w:val="2"/>
          <w:szCs w:val="44"/>
        </w:rPr>
      </w:pPr>
      <w:r>
        <w:rPr>
          <w:rFonts w:hint="eastAsia" w:ascii="Times New Roman" w:hAnsi="Times New Roman"/>
          <w:b w:val="0"/>
          <w:bCs/>
          <w:kern w:val="2"/>
          <w:szCs w:val="44"/>
        </w:rPr>
        <w:t>关于进一步加强郯城县高标准农田建设项目管护工作的意见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粗黑宋简体" w:hAnsi="方正粗黑宋简体" w:eastAsia="方正粗黑宋简体" w:cs="方正粗黑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第一条  </w:t>
      </w:r>
      <w:r>
        <w:rPr>
          <w:rFonts w:hint="eastAsia" w:ascii="仿宋_GB2312" w:hAnsi="仿宋_GB2312" w:eastAsia="仿宋_GB2312" w:cs="仿宋_GB2312"/>
          <w:sz w:val="32"/>
          <w:szCs w:val="32"/>
          <w:lang w:val="en-US" w:eastAsia="zh-CN"/>
        </w:rPr>
        <w:t>总则</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为加强高标准农田设施管护工作，确保高标准农田设施能正常运行长期发挥效益，提高粮食综合生产能力，保障粮食安全，根据《国务院办公厅关于切实加强高标准农田建设提升国家粮食安全保障能力的意见》《农业农村部高标准农田建设质量管理办法（试行）》及有关规定，结合我县实际，制定本办法。</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2.高标准农田工程设施建后管护是指对工程设施进行管理、维修和养护，确保工程原设计功能运行正常。</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b w:val="0"/>
          <w:bCs w:val="0"/>
          <w:sz w:val="32"/>
          <w:szCs w:val="32"/>
          <w:lang w:val="en-US" w:eastAsia="zh-CN"/>
        </w:rPr>
        <w:t>3.本意见适用通过高标准农田建设建成并验收的各类工程设施均纳入管护范围。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第二条  </w:t>
      </w:r>
      <w:r>
        <w:rPr>
          <w:rFonts w:hint="eastAsia" w:ascii="仿宋_GB2312" w:hAnsi="仿宋_GB2312" w:eastAsia="仿宋_GB2312" w:cs="仿宋_GB2312"/>
          <w:sz w:val="32"/>
          <w:szCs w:val="32"/>
          <w:lang w:val="en-US" w:eastAsia="zh-CN"/>
        </w:rPr>
        <w:t>管护原则</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高标准农田建设项目按照“建与管并重”“谁受益，谁管护”“以工程养工程”“市场手段与政府补助相结合”的原则开展管护管理工作。</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1.“建与管并重”是指建前、建中、建后三阶段全程、全面强化管护工作。</w:t>
      </w:r>
      <w:r>
        <w:rPr>
          <w:rFonts w:hint="eastAsia" w:ascii="仿宋_GB2312" w:hAnsi="仿宋_GB2312" w:eastAsia="仿宋_GB2312" w:cs="仿宋_GB2312"/>
          <w:b/>
          <w:bCs/>
          <w:sz w:val="32"/>
          <w:szCs w:val="32"/>
          <w:lang w:val="en-US" w:eastAsia="zh-CN"/>
        </w:rPr>
        <w:t>建前，</w:t>
      </w:r>
      <w:r>
        <w:rPr>
          <w:rFonts w:hint="eastAsia" w:ascii="仿宋_GB2312" w:hAnsi="仿宋_GB2312" w:eastAsia="仿宋_GB2312" w:cs="仿宋_GB2312"/>
          <w:sz w:val="32"/>
          <w:szCs w:val="32"/>
          <w:lang w:val="en-US" w:eastAsia="zh-CN"/>
        </w:rPr>
        <w:t>项目建设乡镇要把农田建设项目管护工作在规划设计阶段安排和部署、提前谋划。无管护主体的不规划设计，理论上可行实际上用不上的不规划设计，低水平低标准工程不规划设计，把钱用农民群众生产上急需解决的、制约农业生产和产业化发展根本性的工程项目方面，确保农田建设项目规划设计科学可行、经济合理，建成精品工程，群众满意工程，政府放心工程。</w:t>
      </w:r>
      <w:r>
        <w:rPr>
          <w:rFonts w:hint="eastAsia" w:ascii="仿宋_GB2312" w:hAnsi="仿宋_GB2312" w:eastAsia="仿宋_GB2312" w:cs="仿宋_GB2312"/>
          <w:b/>
          <w:bCs/>
          <w:sz w:val="32"/>
          <w:szCs w:val="32"/>
          <w:lang w:val="en-US" w:eastAsia="zh-CN"/>
        </w:rPr>
        <w:t>建中，</w:t>
      </w:r>
      <w:r>
        <w:rPr>
          <w:rFonts w:hint="eastAsia" w:ascii="仿宋_GB2312" w:hAnsi="仿宋_GB2312" w:eastAsia="仿宋_GB2312" w:cs="仿宋_GB2312"/>
          <w:sz w:val="32"/>
          <w:szCs w:val="32"/>
          <w:lang w:val="en-US" w:eastAsia="zh-CN"/>
        </w:rPr>
        <w:t>要落实好管护配套工程高标准建设。水电工程要有警示标识和安全配套设施，注重防偷盗、防破坏、安全使用等配套工程建设。机电设备要向使用对象进行安全操作技术培训，做到应知应会。项目验收合格后，县农业农村局要督导施工单位与建设乡镇及时办理工程项目产权、管护责任移交手续工作。施工单位要将工程竣工图、工程量清单、工程决算等竣工资料交接清楚。竣工图要明确单项工程名称、位置、规格、编号、数量等内容。水电系统工程要单独编制竣工图，如：机电井工程要以变压器为单位，与其配电的农井（大口井）、PE管道、出水口、地埋电缆为一个系统工程编制竣工图。</w:t>
      </w:r>
      <w:r>
        <w:rPr>
          <w:rFonts w:hint="eastAsia" w:ascii="仿宋_GB2312" w:hAnsi="仿宋_GB2312" w:eastAsia="仿宋_GB2312" w:cs="仿宋_GB2312"/>
          <w:b/>
          <w:bCs/>
          <w:sz w:val="32"/>
          <w:szCs w:val="32"/>
          <w:lang w:val="en-US" w:eastAsia="zh-CN"/>
        </w:rPr>
        <w:t>建后，</w:t>
      </w:r>
      <w:r>
        <w:rPr>
          <w:rFonts w:hint="eastAsia" w:ascii="仿宋_GB2312" w:hAnsi="仿宋_GB2312" w:eastAsia="仿宋_GB2312" w:cs="仿宋_GB2312"/>
          <w:sz w:val="32"/>
          <w:szCs w:val="32"/>
          <w:lang w:val="en-US" w:eastAsia="zh-CN"/>
        </w:rPr>
        <w:t>要落实好农田建设项目管护运营工作。各乡镇要成立管护机构，建立制度、配备人员、明确职责、保障经费，切实解决有人管事、有钱办事的难题，保证工程发挥应有的作用。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2.“谁受益、谁管护”是指能明确项目使用者的，以合同（责任书）的形式明确其管护责任。如种植大户、种植合作社等。</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以工程养工程”是指各乡镇以公益服务为目的、不加重群众的负担情况下，向用水用电农户（农民专业合作社）加收少量水电费，用于变压器电损和日常水电设施维修等公共维护费用，统一管好、用好机电井等水电建设项目使用维护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b w:val="0"/>
          <w:bCs w:val="0"/>
          <w:sz w:val="32"/>
          <w:szCs w:val="32"/>
          <w:lang w:val="en-US" w:eastAsia="zh-CN"/>
        </w:rPr>
        <w:t>4.“市场手段与政府补助相结合”</w:t>
      </w:r>
      <w:r>
        <w:rPr>
          <w:rFonts w:hint="eastAsia" w:ascii="仿宋_GB2312" w:hAnsi="仿宋_GB2312" w:eastAsia="仿宋_GB2312" w:cs="仿宋_GB2312"/>
          <w:sz w:val="32"/>
          <w:szCs w:val="32"/>
          <w:lang w:val="en-US" w:eastAsia="zh-CN"/>
        </w:rPr>
        <w:t>是指</w:t>
      </w:r>
      <w:r>
        <w:rPr>
          <w:rFonts w:hint="eastAsia" w:ascii="仿宋_GB2312" w:hAnsi="仿宋_GB2312" w:eastAsia="仿宋_GB2312" w:cs="仿宋_GB2312"/>
          <w:b w:val="0"/>
          <w:bCs w:val="0"/>
          <w:sz w:val="32"/>
          <w:szCs w:val="32"/>
          <w:lang w:val="en-US" w:eastAsia="zh-CN"/>
        </w:rPr>
        <w:t>林网等工程可以采取承包的方式，所得收益原则上用于高标准农田建设项目管护工作发生的费用支出；排灌站等公益性农田建设项目发生的费用由乡镇政府财政负担，主要用于抗旱保苗、排涝减灾、重点水利设施运营维护等事项支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 xml:space="preserve">第三条  </w:t>
      </w:r>
      <w:r>
        <w:rPr>
          <w:rFonts w:hint="eastAsia" w:ascii="仿宋_GB2312" w:hAnsi="仿宋_GB2312" w:eastAsia="仿宋_GB2312" w:cs="仿宋_GB2312"/>
          <w:sz w:val="32"/>
          <w:szCs w:val="32"/>
          <w:lang w:val="en-US" w:eastAsia="zh-CN"/>
        </w:rPr>
        <w:t>管护对象及管护内容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1.水利工程：机电井、大口井、排灌站、节制闸、拦河坝、输配水管道工程、出水口、田间渠系工程、田间排水工程、生产桥、交通桥、管涵等。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2.农村输配电工程：变压器及配套设施、高压线路、低压线路、机电设备、射频卡控制器等。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3.田间道路工程：砼硬化道路、沥青硬化路等。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4.田间林网工程。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lang w:val="en-US" w:eastAsia="zh-CN"/>
        </w:rPr>
      </w:pPr>
      <w:r>
        <w:rPr>
          <w:rFonts w:hint="eastAsia" w:ascii="仿宋_GB2312" w:hAnsi="仿宋_GB2312" w:eastAsia="仿宋_GB2312" w:cs="仿宋_GB2312"/>
          <w:sz w:val="32"/>
          <w:szCs w:val="32"/>
          <w:lang w:val="en-US" w:eastAsia="zh-CN"/>
        </w:rPr>
        <w:t>5.其他工程等。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第四条  </w:t>
      </w:r>
      <w:r>
        <w:rPr>
          <w:rFonts w:hint="eastAsia" w:ascii="仿宋_GB2312" w:hAnsi="仿宋_GB2312" w:eastAsia="仿宋_GB2312" w:cs="仿宋_GB2312"/>
          <w:sz w:val="32"/>
          <w:szCs w:val="32"/>
          <w:lang w:val="en-US" w:eastAsia="zh-CN"/>
        </w:rPr>
        <w:t>管护主体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根据高标准农田建设项目受益范围和受益对象，高标准农田建设项目管护主体是乡镇人民政府，产权归乡镇人民政府所有，对建设项目管护工作负总责。建设项目明确归属</w:t>
      </w:r>
      <w:r>
        <w:rPr>
          <w:rFonts w:hint="eastAsia" w:ascii="仿宋_GB2312" w:hAnsi="仿宋_GB2312" w:eastAsia="仿宋_GB2312" w:cs="仿宋_GB2312"/>
          <w:sz w:val="32"/>
          <w:szCs w:val="32"/>
          <w:lang w:val="en-US" w:eastAsia="zh-CN"/>
        </w:rPr>
        <w:t>村、农业企业、个人使用的，其使用者是所属乡镇下一级单位管护主体，对所使用的建设项目负具体管护责任，有使用权，无所有权。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第五条</w:t>
      </w:r>
      <w:r>
        <w:rPr>
          <w:rFonts w:hint="eastAsia" w:ascii="仿宋_GB2312" w:hAnsi="仿宋_GB2312" w:eastAsia="仿宋_GB2312" w:cs="仿宋_GB2312"/>
          <w:sz w:val="32"/>
          <w:szCs w:val="32"/>
          <w:lang w:val="en-US" w:eastAsia="zh-CN"/>
        </w:rPr>
        <w:t xml:space="preserve">  管护经费来源、使用和管理</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建立管护经费保障制度，本着“水电费收一点、乡镇财政府拿一点，县财政管护专项资金拨一点”的办法筹集管护经费。日常发生的水电费按“谁受益、谁承担”的原则直接由使用受益对象解决。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(一)管护经费来源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1.灌溉用水收费。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2.乡镇人民政府对高标准农田设施采取租赁、承包等方式取得收入。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3.乡镇财政补助资金。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4.各级财政安排的高标准农田建设项目建后专项管护资金。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5.高标准农田建设项目结余资金。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(二)使用范围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1.自然毁损的，群众急需使用的水利、电力等工程项目。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2.重要水电工程（排灌站、桥涵闸等）缺失的配套管护项目。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3.重点建设工程（排灌站、节制闸等）管护人员的管护费。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4.公益性的排灌站等建设工程发生的电费及设备的维修保养费。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5.其他原因需要修建的工程项目。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6.年久自然毁损或人为破坏、维修无使用价值的或维修成本和新建成本基本相当的工程项目原则上不再维护，按报废工程项目处理。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(三)经费管理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1.高标准农田建设项目专项管护资金和结余资金由县财政专户管理。</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2.乡镇财政资金主要用于抗旱排涝等公益性事项和重点水电工程项目管护人员的管护费。</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3.县级财政管护专项资金主要用于自然毁损的重点水电工程项目或乡镇无财力解决的公益性项目发生的费用。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4.乡镇收取用户的水电费原则上要取之与民，用之与民，不得加重农民负担。乡镇政府要强化水电费收支管理，严格财经纪律，严禁违法乱纪行为的发生。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5.乡镇采取承包或租赁等方式获得的收入，主要用于管护经费支出。</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6.县财政负责的管护经费，由乡镇人民政府或具有法人资格的农业企业申请、提供真实可靠的资料，经县农业农村局、财政局核实后予以拨付。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第六条  </w:t>
      </w:r>
      <w:r>
        <w:rPr>
          <w:rFonts w:hint="eastAsia" w:ascii="仿宋_GB2312" w:hAnsi="仿宋_GB2312" w:eastAsia="仿宋_GB2312" w:cs="仿宋_GB2312"/>
          <w:sz w:val="32"/>
          <w:szCs w:val="32"/>
          <w:lang w:val="en-US" w:eastAsia="zh-CN"/>
        </w:rPr>
        <w:t>管护标准及管护职责</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镇政府要建立高标准农田建设项目管护组织和工作制度，层层落实责任，细化“谁受益、谁管护”主体责任。主要职责是加强桥涵闸工程使用管理，统一调水配水等抗旱防汛工作；做好机电设备使用管理工作，统一水电工程水电费用收缴；统一毁损农田工程项目维修管护；统一林网道路管护；强化防破坏、防偷盗、防溺水、防触电等工作措施，确保农田工程安全正常使用；做好爱护农田工程宣传工作，营造良好舆论氛围；建立农田建设项目台账，明确使用管护主体，加强资产管理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各项目管护主体应严格遵守法律和行政法规有关规定，不得以任何理由擅自收取附加费用，不得擅自将工程及设备变卖或占为己有，不得破坏水土资源和生态环境。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通过承包、租赁等市场方式取得高标准农田建设项目管护权的单位或个人，要服从各级政府抗旱防汛等工作的统一调度安排。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项目区农民群众是高标准农田工程设施的直接受益主体，要增强主动参与工程实施运行管护的意识，自觉接受村(组)集体的统筹安排，共同维护好高标准农田工程设施。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第七条  </w:t>
      </w:r>
      <w:r>
        <w:rPr>
          <w:rFonts w:hint="eastAsia" w:ascii="仿宋_GB2312" w:hAnsi="仿宋_GB2312" w:eastAsia="仿宋_GB2312" w:cs="仿宋_GB2312"/>
          <w:sz w:val="32"/>
          <w:szCs w:val="32"/>
          <w:lang w:val="en-US" w:eastAsia="zh-CN"/>
        </w:rPr>
        <w:t>责任追究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1.项目乡镇落实管护责任不到位，影响水电等工程项目不能正常使用群众不满意的、发生破坏偷盗等不良现象的，要依规依法追究责任。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2.凡挪用管护资金或未按规定使用的，依法严肃处理并追究责任。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3.凡不按规定要求申报、审批、使用管护经费的不予拨付。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第八条</w:t>
      </w:r>
      <w:r>
        <w:rPr>
          <w:rFonts w:hint="eastAsia" w:ascii="仿宋_GB2312" w:hAnsi="仿宋_GB2312" w:eastAsia="仿宋_GB2312" w:cs="仿宋_GB2312"/>
          <w:sz w:val="32"/>
          <w:szCs w:val="32"/>
          <w:lang w:val="en-US" w:eastAsia="zh-CN"/>
        </w:rPr>
        <w:t xml:space="preserve">  各乡镇根据国家、省、市、县高标准农田工程建设项目管护要求，结合乡镇的实际，制定各乡镇高标准农田建设项目具体管护办法。</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kern w:val="2"/>
          <w:sz w:val="32"/>
          <w:szCs w:val="32"/>
          <w:lang w:val="en-US" w:eastAsia="zh-CN" w:bidi="ar-SA"/>
        </w:rPr>
        <w:t>第九条</w:t>
      </w:r>
      <w:r>
        <w:rPr>
          <w:rFonts w:hint="eastAsia" w:ascii="仿宋_GB2312" w:hAnsi="仿宋_GB2312" w:eastAsia="仿宋_GB2312" w:cs="仿宋_GB2312"/>
          <w:sz w:val="32"/>
          <w:szCs w:val="32"/>
          <w:lang w:val="en-US" w:eastAsia="zh-CN"/>
        </w:rPr>
        <w:t xml:space="preserve">  本办法由郯城县高标准农田建设项目领导小组负责解释。</w:t>
      </w:r>
    </w:p>
    <w:p>
      <w:pPr>
        <w:pStyle w:val="9"/>
        <w:pageBreakBefore w:val="0"/>
        <w:kinsoku/>
        <w:wordWrap/>
        <w:topLinePunct w:val="0"/>
        <w:bidi w:val="0"/>
        <w:adjustRightInd/>
        <w:snapToGrid/>
        <w:spacing w:line="600" w:lineRule="exact"/>
        <w:jc w:val="both"/>
        <w:textAlignment w:val="auto"/>
      </w:pPr>
    </w:p>
    <w:p>
      <w:pPr>
        <w:pStyle w:val="4"/>
        <w:keepNext w:val="0"/>
        <w:keepLines w:val="0"/>
        <w:pageBreakBefore w:val="0"/>
        <w:widowControl w:val="0"/>
        <w:kinsoku/>
        <w:wordWrap/>
        <w:overflowPunct/>
        <w:topLinePunct w:val="0"/>
        <w:autoSpaceDE/>
        <w:autoSpaceDN/>
        <w:bidi w:val="0"/>
        <w:adjustRightInd/>
        <w:snapToGrid/>
        <w:spacing w:before="22" w:line="560" w:lineRule="exact"/>
        <w:ind w:right="280"/>
        <w:jc w:val="both"/>
        <w:textAlignment w:val="auto"/>
        <w:rPr>
          <w:rFonts w:hint="eastAsia" w:ascii="仿宋_GB2312" w:hAnsi="仿宋_GB2312" w:eastAsia="仿宋_GB2312" w:cs="仿宋_GB2312"/>
          <w:sz w:val="32"/>
          <w:szCs w:val="32"/>
          <w:lang w:val="en-US" w:eastAsia="zh-CN"/>
        </w:rPr>
        <w:sectPr>
          <w:pgSz w:w="11906" w:h="16838"/>
          <w:pgMar w:top="1757" w:right="1587" w:bottom="1587" w:left="1587" w:header="851" w:footer="992" w:gutter="0"/>
          <w:pgNumType w:fmt="decimal"/>
          <w:cols w:space="720" w:num="1"/>
          <w:docGrid w:type="lines" w:linePitch="312" w:charSpace="0"/>
        </w:sect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Theme="majorEastAsia" w:hAnsiTheme="majorEastAsia" w:eastAsiaTheme="majorEastAsia"/>
          <w:sz w:val="44"/>
          <w:szCs w:val="44"/>
        </w:rPr>
      </w:pPr>
    </w:p>
    <w:p>
      <w:pPr>
        <w:jc w:val="center"/>
        <w:rPr>
          <w:rFonts w:ascii="仿宋_GB2312" w:eastAsia="仿宋_GB2312" w:hAnsiTheme="majorEastAsia"/>
          <w:sz w:val="32"/>
          <w:szCs w:val="32"/>
        </w:rPr>
      </w:pPr>
      <w:r>
        <w:rPr>
          <w:rFonts w:hint="eastAsia" w:ascii="仿宋_GB2312" w:eastAsia="仿宋_GB2312" w:hAnsiTheme="majorEastAsia"/>
          <w:sz w:val="32"/>
          <w:szCs w:val="32"/>
        </w:rPr>
        <w:t>郯政办字〔</w:t>
      </w:r>
      <w:r>
        <w:rPr>
          <w:rFonts w:ascii="仿宋_GB2312" w:eastAsia="仿宋_GB2312" w:hAnsiTheme="majorEastAsia"/>
          <w:sz w:val="32"/>
          <w:szCs w:val="32"/>
        </w:rPr>
        <w:t>2021</w:t>
      </w:r>
      <w:r>
        <w:rPr>
          <w:rFonts w:hint="eastAsia" w:ascii="仿宋_GB2312" w:eastAsia="仿宋_GB2312" w:hAnsiTheme="majorEastAsia"/>
          <w:sz w:val="32"/>
          <w:szCs w:val="32"/>
        </w:rPr>
        <w:t>〕</w:t>
      </w:r>
      <w:r>
        <w:rPr>
          <w:rFonts w:hint="eastAsia" w:ascii="仿宋_GB2312" w:eastAsia="仿宋_GB2312" w:hAnsiTheme="majorEastAsia"/>
          <w:sz w:val="32"/>
          <w:szCs w:val="32"/>
          <w:lang w:val="en-US" w:eastAsia="zh-CN"/>
        </w:rPr>
        <w:t>53</w:t>
      </w:r>
      <w:r>
        <w:rPr>
          <w:rFonts w:hint="eastAsia" w:ascii="仿宋_GB2312" w:eastAsia="仿宋_GB2312" w:hAnsiTheme="majorEastAsia"/>
          <w:sz w:val="32"/>
          <w:szCs w:val="32"/>
        </w:rPr>
        <w:t>号</w:t>
      </w:r>
    </w:p>
    <w:p>
      <w:pPr>
        <w:jc w:val="center"/>
        <w:rPr>
          <w:rFonts w:asciiTheme="majorEastAsia" w:hAnsiTheme="majorEastAsia" w:eastAsiaTheme="majorEastAsia"/>
          <w:sz w:val="44"/>
          <w:szCs w:val="44"/>
        </w:rPr>
      </w:pPr>
    </w:p>
    <w:p>
      <w:pPr>
        <w:spacing w:line="600" w:lineRule="exact"/>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郯城县人民政府办公室</w:t>
      </w:r>
    </w:p>
    <w:p>
      <w:pPr>
        <w:spacing w:line="600" w:lineRule="exact"/>
        <w:jc w:val="center"/>
        <w:rPr>
          <w:rFonts w:ascii="方正小标宋简体" w:eastAsia="方正小标宋简体" w:hAnsiTheme="majorEastAsia"/>
          <w:spacing w:val="-20"/>
          <w:sz w:val="44"/>
          <w:szCs w:val="44"/>
        </w:rPr>
      </w:pPr>
      <w:r>
        <w:rPr>
          <w:rFonts w:hint="eastAsia" w:ascii="方正小标宋简体" w:eastAsia="方正小标宋简体" w:hAnsiTheme="majorEastAsia"/>
          <w:spacing w:val="-20"/>
          <w:sz w:val="44"/>
          <w:szCs w:val="44"/>
        </w:rPr>
        <w:t>关于成立县“大棚房”问题专项清理整治行动</w:t>
      </w:r>
    </w:p>
    <w:p>
      <w:pPr>
        <w:spacing w:line="600" w:lineRule="exact"/>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“回头看”协调推进小组的通知</w:t>
      </w:r>
    </w:p>
    <w:p>
      <w:pPr>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各乡镇人民政府、郯城街道办事处，</w:t>
      </w:r>
      <w:r>
        <w:rPr>
          <w:rFonts w:hint="eastAsia" w:ascii="仿宋_GB2312" w:eastAsia="仿宋_GB2312"/>
          <w:sz w:val="32"/>
          <w:szCs w:val="32"/>
          <w:lang w:eastAsia="zh-CN"/>
        </w:rPr>
        <w:t>县直</w:t>
      </w:r>
      <w:r>
        <w:rPr>
          <w:rFonts w:hint="eastAsia" w:ascii="仿宋_GB2312" w:eastAsia="仿宋_GB2312"/>
          <w:sz w:val="32"/>
          <w:szCs w:val="32"/>
        </w:rPr>
        <w:t>有关部门，新村银杏产业开发区管委会：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根据省、市“大棚房”问题专项清理整治行动“回头看”工作方案要求，经研究，决定成立郯城县“大棚房”问题专项清理行动“回头看”协调推进小组，现将组成人员名单公布如下：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组  长：王立军</w:t>
      </w:r>
      <w:r>
        <w:rPr>
          <w:rFonts w:hint="eastAsia" w:ascii="仿宋_GB2312" w:eastAsia="仿宋_GB2312"/>
          <w:sz w:val="32"/>
          <w:szCs w:val="32"/>
          <w:lang w:val="en-US" w:eastAsia="zh-CN"/>
        </w:rPr>
        <w:t xml:space="preserve"> </w:t>
      </w:r>
      <w:r>
        <w:rPr>
          <w:rFonts w:hint="eastAsia" w:ascii="仿宋_GB2312" w:eastAsia="仿宋_GB2312"/>
          <w:sz w:val="32"/>
          <w:szCs w:val="32"/>
        </w:rPr>
        <w:t>县委副书记、县政府县长</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副组长：苗运全</w:t>
      </w:r>
      <w:r>
        <w:rPr>
          <w:rFonts w:hint="eastAsia" w:ascii="仿宋_GB2312" w:eastAsia="仿宋_GB2312"/>
          <w:sz w:val="32"/>
          <w:szCs w:val="32"/>
          <w:lang w:val="en-US" w:eastAsia="zh-CN"/>
        </w:rPr>
        <w:t xml:space="preserve"> </w:t>
      </w:r>
      <w:r>
        <w:rPr>
          <w:rFonts w:hint="eastAsia" w:ascii="仿宋_GB2312" w:eastAsia="仿宋_GB2312"/>
          <w:sz w:val="32"/>
          <w:szCs w:val="32"/>
        </w:rPr>
        <w:t>县委常委、县政府常务副县长</w:t>
      </w:r>
    </w:p>
    <w:p>
      <w:pPr>
        <w:spacing w:line="560" w:lineRule="exact"/>
        <w:ind w:firstLine="1920" w:firstLineChars="600"/>
        <w:rPr>
          <w:rFonts w:hint="eastAsia" w:ascii="仿宋_GB2312" w:eastAsia="仿宋_GB2312"/>
          <w:sz w:val="32"/>
          <w:szCs w:val="32"/>
          <w:lang w:val="en-US" w:eastAsia="zh-CN"/>
        </w:rPr>
      </w:pPr>
      <w:r>
        <w:rPr>
          <w:rFonts w:hint="eastAsia" w:ascii="仿宋_GB2312" w:eastAsia="仿宋_GB2312"/>
          <w:sz w:val="32"/>
          <w:szCs w:val="32"/>
        </w:rPr>
        <w:t>李晓法</w:t>
      </w:r>
      <w:r>
        <w:rPr>
          <w:rFonts w:hint="eastAsia" w:ascii="仿宋_GB2312" w:eastAsia="仿宋_GB2312"/>
          <w:sz w:val="32"/>
          <w:szCs w:val="32"/>
          <w:lang w:val="en-US" w:eastAsia="zh-CN"/>
        </w:rPr>
        <w:t xml:space="preserve"> </w:t>
      </w:r>
      <w:r>
        <w:rPr>
          <w:rFonts w:hint="eastAsia" w:ascii="仿宋_GB2312" w:eastAsia="仿宋_GB2312"/>
          <w:sz w:val="32"/>
          <w:szCs w:val="32"/>
        </w:rPr>
        <w:t>县政府副县长</w:t>
      </w:r>
      <w:r>
        <w:rPr>
          <w:rFonts w:hint="eastAsia" w:ascii="仿宋_GB2312" w:eastAsia="仿宋_GB2312"/>
          <w:sz w:val="32"/>
          <w:szCs w:val="32"/>
          <w:lang w:val="en-US" w:eastAsia="zh-CN"/>
        </w:rPr>
        <w:t xml:space="preserve"> </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成  员：</w:t>
      </w:r>
      <w:r>
        <w:rPr>
          <w:rFonts w:hint="eastAsia" w:ascii="仿宋_GB2312" w:eastAsia="仿宋_GB2312"/>
          <w:sz w:val="32"/>
          <w:szCs w:val="32"/>
          <w:lang w:eastAsia="zh-CN"/>
        </w:rPr>
        <w:t>居国防</w:t>
      </w:r>
      <w:r>
        <w:rPr>
          <w:rFonts w:hint="eastAsia" w:ascii="仿宋_GB2312" w:eastAsia="仿宋_GB2312"/>
          <w:sz w:val="32"/>
          <w:szCs w:val="32"/>
          <w:lang w:val="en-US" w:eastAsia="zh-CN"/>
        </w:rPr>
        <w:t xml:space="preserve"> 县政府办公室副主任、</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县12345政务服务热线受理中心主任</w:t>
      </w:r>
    </w:p>
    <w:p>
      <w:pPr>
        <w:spacing w:line="560" w:lineRule="exact"/>
        <w:ind w:firstLine="640" w:firstLineChars="200"/>
        <w:rPr>
          <w:rFonts w:hint="eastAsia" w:ascii="仿宋_GB2312" w:eastAsia="仿宋_GB2312"/>
          <w:sz w:val="30"/>
          <w:szCs w:val="30"/>
          <w:lang w:val="en-US" w:eastAsia="zh-CN"/>
        </w:rPr>
      </w:pPr>
      <w:r>
        <w:rPr>
          <w:rFonts w:hint="eastAsia" w:ascii="仿宋_GB2312" w:eastAsia="仿宋_GB2312"/>
          <w:sz w:val="32"/>
          <w:szCs w:val="32"/>
          <w:lang w:val="en-US" w:eastAsia="zh-CN"/>
        </w:rPr>
        <w:t xml:space="preserve">        于升飞 </w:t>
      </w:r>
      <w:r>
        <w:rPr>
          <w:rFonts w:hint="eastAsia" w:ascii="仿宋_GB2312" w:eastAsia="仿宋_GB2312"/>
          <w:sz w:val="30"/>
          <w:szCs w:val="30"/>
          <w:lang w:val="en-US" w:eastAsia="zh-CN"/>
        </w:rPr>
        <w:t>县政府办公室副主任、大数据中心主任</w:t>
      </w:r>
    </w:p>
    <w:p>
      <w:pPr>
        <w:spacing w:line="560" w:lineRule="exact"/>
        <w:ind w:firstLine="600" w:firstLineChars="200"/>
        <w:rPr>
          <w:rFonts w:hint="default" w:ascii="仿宋_GB2312" w:eastAsia="仿宋_GB2312"/>
          <w:sz w:val="30"/>
          <w:szCs w:val="30"/>
          <w:lang w:val="en-US" w:eastAsia="zh-CN"/>
        </w:rPr>
      </w:pPr>
      <w:r>
        <w:rPr>
          <w:rFonts w:hint="eastAsia" w:ascii="仿宋_GB2312" w:eastAsia="仿宋_GB2312"/>
          <w:sz w:val="30"/>
          <w:szCs w:val="30"/>
          <w:lang w:val="en-US" w:eastAsia="zh-CN"/>
        </w:rPr>
        <w:t xml:space="preserve">                </w:t>
      </w:r>
      <w:r>
        <w:rPr>
          <w:rFonts w:hint="eastAsia" w:ascii="仿宋_GB2312" w:eastAsia="仿宋_GB2312"/>
          <w:sz w:val="32"/>
          <w:szCs w:val="32"/>
          <w:lang w:val="en-US" w:eastAsia="zh-CN"/>
        </w:rPr>
        <w:t>县扶贫办副主任（主持工作）</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高俊标</w:t>
      </w:r>
      <w:r>
        <w:rPr>
          <w:rFonts w:hint="eastAsia" w:ascii="仿宋_GB2312" w:eastAsia="仿宋_GB2312"/>
          <w:sz w:val="32"/>
          <w:szCs w:val="32"/>
          <w:lang w:val="en-US" w:eastAsia="zh-CN"/>
        </w:rPr>
        <w:t xml:space="preserve"> </w:t>
      </w:r>
      <w:r>
        <w:rPr>
          <w:rFonts w:hint="eastAsia" w:ascii="仿宋_GB2312" w:eastAsia="仿宋_GB2312"/>
          <w:sz w:val="32"/>
          <w:szCs w:val="32"/>
        </w:rPr>
        <w:t>县纪委监委第七派驻组书记</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莫  峰</w:t>
      </w:r>
      <w:r>
        <w:rPr>
          <w:rFonts w:hint="eastAsia" w:ascii="仿宋_GB2312" w:eastAsia="仿宋_GB2312"/>
          <w:sz w:val="32"/>
          <w:szCs w:val="32"/>
          <w:lang w:val="en-US" w:eastAsia="zh-CN"/>
        </w:rPr>
        <w:t xml:space="preserve"> 郯南农场场长、</w:t>
      </w:r>
      <w:r>
        <w:rPr>
          <w:rFonts w:hint="eastAsia" w:ascii="仿宋_GB2312" w:eastAsia="仿宋_GB2312"/>
          <w:sz w:val="32"/>
          <w:szCs w:val="32"/>
        </w:rPr>
        <w:t>县农业农村局局长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徐守峰</w:t>
      </w:r>
      <w:r>
        <w:rPr>
          <w:rFonts w:hint="eastAsia" w:ascii="仿宋_GB2312" w:eastAsia="仿宋_GB2312"/>
          <w:sz w:val="32"/>
          <w:szCs w:val="32"/>
          <w:lang w:val="en-US" w:eastAsia="zh-CN"/>
        </w:rPr>
        <w:t xml:space="preserve"> </w:t>
      </w:r>
      <w:r>
        <w:rPr>
          <w:rFonts w:hint="eastAsia" w:ascii="仿宋_GB2312" w:eastAsia="仿宋_GB2312"/>
          <w:sz w:val="32"/>
          <w:szCs w:val="32"/>
        </w:rPr>
        <w:t>县自然资源和规划局</w:t>
      </w:r>
      <w:r>
        <w:rPr>
          <w:rFonts w:hint="eastAsia" w:ascii="仿宋_GB2312" w:eastAsia="仿宋_GB2312"/>
          <w:sz w:val="32"/>
          <w:szCs w:val="32"/>
          <w:lang w:eastAsia="zh-CN"/>
        </w:rPr>
        <w:t>（林业局）</w:t>
      </w:r>
      <w:r>
        <w:rPr>
          <w:rFonts w:hint="eastAsia" w:ascii="仿宋_GB2312" w:eastAsia="仿宋_GB2312"/>
          <w:sz w:val="32"/>
          <w:szCs w:val="32"/>
        </w:rPr>
        <w:t>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卢忠志</w:t>
      </w:r>
      <w:r>
        <w:rPr>
          <w:rFonts w:hint="eastAsia" w:ascii="仿宋_GB2312" w:eastAsia="仿宋_GB2312"/>
          <w:sz w:val="32"/>
          <w:szCs w:val="32"/>
          <w:lang w:val="en-US" w:eastAsia="zh-CN"/>
        </w:rPr>
        <w:t xml:space="preserve"> </w:t>
      </w:r>
      <w:r>
        <w:rPr>
          <w:rFonts w:hint="eastAsia" w:ascii="仿宋_GB2312" w:eastAsia="仿宋_GB2312"/>
          <w:sz w:val="32"/>
          <w:szCs w:val="32"/>
        </w:rPr>
        <w:t>县综合行政执法局局长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张玉果</w:t>
      </w:r>
      <w:r>
        <w:rPr>
          <w:rFonts w:hint="eastAsia" w:ascii="仿宋_GB2312" w:eastAsia="仿宋_GB2312"/>
          <w:sz w:val="32"/>
          <w:szCs w:val="32"/>
          <w:lang w:val="en-US" w:eastAsia="zh-CN"/>
        </w:rPr>
        <w:t xml:space="preserve"> </w:t>
      </w:r>
      <w:r>
        <w:rPr>
          <w:rFonts w:hint="eastAsia" w:ascii="仿宋_GB2312" w:eastAsia="仿宋_GB2312"/>
          <w:sz w:val="32"/>
          <w:szCs w:val="32"/>
        </w:rPr>
        <w:t>县自然资源和规划局副局长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陈乃学</w:t>
      </w:r>
      <w:r>
        <w:rPr>
          <w:rFonts w:hint="eastAsia" w:ascii="仿宋_GB2312" w:eastAsia="仿宋_GB2312"/>
          <w:sz w:val="32"/>
          <w:szCs w:val="32"/>
          <w:lang w:val="en-US" w:eastAsia="zh-CN"/>
        </w:rPr>
        <w:t xml:space="preserve"> </w:t>
      </w:r>
      <w:r>
        <w:rPr>
          <w:rFonts w:hint="eastAsia" w:ascii="仿宋_GB2312" w:eastAsia="仿宋_GB2312"/>
          <w:sz w:val="32"/>
          <w:szCs w:val="32"/>
        </w:rPr>
        <w:t>县农业农村局副局长</w:t>
      </w:r>
    </w:p>
    <w:p>
      <w:pPr>
        <w:spacing w:line="560" w:lineRule="exact"/>
        <w:ind w:firstLine="1920" w:firstLineChars="600"/>
        <w:rPr>
          <w:rFonts w:ascii="仿宋_GB2312" w:eastAsia="仿宋_GB2312"/>
          <w:sz w:val="32"/>
          <w:szCs w:val="32"/>
        </w:rPr>
      </w:pPr>
      <w:r>
        <w:rPr>
          <w:rFonts w:hint="eastAsia" w:ascii="仿宋_GB2312" w:eastAsia="仿宋_GB2312"/>
          <w:sz w:val="32"/>
          <w:szCs w:val="32"/>
        </w:rPr>
        <w:t>王  彬</w:t>
      </w:r>
      <w:r>
        <w:rPr>
          <w:rFonts w:hint="eastAsia" w:ascii="仿宋_GB2312" w:eastAsia="仿宋_GB2312"/>
          <w:sz w:val="32"/>
          <w:szCs w:val="32"/>
          <w:lang w:val="en-US" w:eastAsia="zh-CN"/>
        </w:rPr>
        <w:t xml:space="preserve"> </w:t>
      </w:r>
      <w:r>
        <w:rPr>
          <w:rFonts w:hint="eastAsia" w:ascii="仿宋_GB2312" w:eastAsia="仿宋_GB2312"/>
          <w:sz w:val="32"/>
          <w:szCs w:val="32"/>
        </w:rPr>
        <w:t>县综合行政执法局副局长</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协调推进小组办公室设在县自然资源和规划局，农业农村局派人员参加，</w:t>
      </w:r>
      <w:r>
        <w:rPr>
          <w:rFonts w:hint="eastAsia" w:ascii="仿宋_GB2312" w:eastAsia="仿宋_GB2312"/>
          <w:sz w:val="32"/>
          <w:szCs w:val="32"/>
          <w:lang w:eastAsia="zh-CN"/>
        </w:rPr>
        <w:t>徐守峰</w:t>
      </w:r>
      <w:r>
        <w:rPr>
          <w:rFonts w:hint="eastAsia" w:ascii="仿宋_GB2312" w:eastAsia="仿宋_GB2312"/>
          <w:sz w:val="32"/>
          <w:szCs w:val="32"/>
        </w:rPr>
        <w:t>同志兼任办公室主任，实行集中办公，共同承担日常工作。协调小组不作为县政府议事协调机构，专项清理整治行动“回头看”结束后自行撤销。</w:t>
      </w:r>
    </w:p>
    <w:p>
      <w:pPr>
        <w:spacing w:line="560" w:lineRule="exact"/>
        <w:rPr>
          <w:rFonts w:ascii="仿宋_GB2312" w:eastAsia="仿宋_GB2312"/>
          <w:sz w:val="32"/>
          <w:szCs w:val="32"/>
        </w:rPr>
      </w:pPr>
    </w:p>
    <w:p>
      <w:pPr>
        <w:spacing w:line="560" w:lineRule="exact"/>
        <w:ind w:left="105" w:leftChars="50" w:firstLine="4960" w:firstLineChars="1550"/>
        <w:rPr>
          <w:rFonts w:ascii="仿宋_GB2312" w:eastAsia="仿宋_GB2312"/>
          <w:sz w:val="32"/>
          <w:szCs w:val="32"/>
        </w:rPr>
      </w:pPr>
    </w:p>
    <w:p>
      <w:pPr>
        <w:spacing w:line="560" w:lineRule="exact"/>
        <w:ind w:left="105" w:leftChars="50" w:firstLine="4960" w:firstLineChars="1550"/>
        <w:rPr>
          <w:rFonts w:ascii="仿宋_GB2312" w:eastAsia="仿宋_GB2312"/>
          <w:sz w:val="32"/>
          <w:szCs w:val="32"/>
        </w:rPr>
      </w:pPr>
      <w:r>
        <w:rPr>
          <w:rFonts w:hint="eastAsia" w:ascii="仿宋_GB2312" w:eastAsia="仿宋_GB2312"/>
          <w:sz w:val="32"/>
          <w:szCs w:val="32"/>
        </w:rPr>
        <w:t>郯城县人民政府办公室</w:t>
      </w:r>
    </w:p>
    <w:p>
      <w:pPr>
        <w:spacing w:line="560" w:lineRule="exact"/>
        <w:ind w:left="105" w:leftChars="50" w:firstLine="5440" w:firstLineChars="1700"/>
        <w:rPr>
          <w:rFonts w:ascii="仿宋_GB2312" w:eastAsia="仿宋_GB2312"/>
          <w:sz w:val="32"/>
          <w:szCs w:val="32"/>
        </w:rPr>
      </w:pPr>
      <w:r>
        <w:rPr>
          <w:rFonts w:hint="eastAsia" w:ascii="仿宋_GB2312" w:eastAsia="仿宋_GB2312"/>
          <w:sz w:val="32"/>
          <w:szCs w:val="32"/>
        </w:rPr>
        <w:t>20</w:t>
      </w:r>
      <w:r>
        <w:rPr>
          <w:rFonts w:ascii="仿宋_GB2312" w:eastAsia="仿宋_GB2312"/>
          <w:sz w:val="32"/>
          <w:szCs w:val="32"/>
        </w:rPr>
        <w:t>21</w:t>
      </w:r>
      <w:r>
        <w:rPr>
          <w:rFonts w:hint="eastAsia" w:ascii="仿宋_GB2312" w:eastAsia="仿宋_GB2312"/>
          <w:sz w:val="32"/>
          <w:szCs w:val="32"/>
        </w:rPr>
        <w:t>年</w:t>
      </w:r>
      <w:r>
        <w:rPr>
          <w:rFonts w:hint="eastAsia" w:ascii="仿宋_GB2312" w:eastAsia="仿宋_GB2312"/>
          <w:sz w:val="32"/>
          <w:szCs w:val="32"/>
          <w:lang w:val="en-US" w:eastAsia="zh-CN"/>
        </w:rPr>
        <w:t>8</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w:t>
      </w:r>
    </w:p>
    <w:p>
      <w:pPr>
        <w:pStyle w:val="4"/>
        <w:rPr>
          <w:rFonts w:hint="eastAsia" w:cs="仿宋_GB2312"/>
          <w:sz w:val="32"/>
          <w:szCs w:val="32"/>
          <w:lang w:val="en-US" w:eastAsia="zh-CN"/>
        </w:rPr>
        <w:sectPr>
          <w:pgSz w:w="11906" w:h="16838"/>
          <w:pgMar w:top="1814" w:right="1587" w:bottom="1701" w:left="1587" w:header="851" w:footer="992" w:gutter="0"/>
          <w:pgNumType w:fmt="decimal"/>
          <w:cols w:space="720" w:num="1"/>
          <w:docGrid w:type="lines" w:linePitch="312" w:charSpace="0"/>
        </w:sectPr>
      </w:pPr>
      <w:r>
        <w:rPr>
          <w:rFonts w:hint="eastAsia" w:cs="仿宋_GB2312"/>
          <w:sz w:val="32"/>
          <w:szCs w:val="32"/>
          <w:lang w:val="en-US" w:eastAsia="zh-CN"/>
        </w:rPr>
        <w:t xml:space="preserve">  （此件公开发布）</w:t>
      </w: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楷体_GB2312" w:hAnsi="方正小标宋简体" w:eastAsia="楷体_GB2312" w:cs="方正小标宋简体"/>
          <w:sz w:val="32"/>
          <w:szCs w:val="32"/>
        </w:rPr>
      </w:pPr>
    </w:p>
    <w:p>
      <w:pPr>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郯政办字〔2021〕</w:t>
      </w: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rPr>
        <w:t>号</w:t>
      </w: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关于印发《郯城县节约用水工作联席会议制度》的通知</w:t>
      </w:r>
    </w:p>
    <w:p>
      <w:pPr>
        <w:spacing w:line="600" w:lineRule="exact"/>
        <w:rPr>
          <w:rFonts w:hint="eastAsia" w:ascii="方正小标宋简体" w:hAnsi="方正小标宋简体" w:eastAsia="方正小标宋简体" w:cs="方正小标宋简体"/>
          <w:sz w:val="44"/>
          <w:szCs w:val="44"/>
        </w:rPr>
      </w:pPr>
    </w:p>
    <w:p>
      <w:pPr>
        <w:spacing w:line="600" w:lineRule="exact"/>
        <w:rPr>
          <w:rFonts w:hint="eastAsia"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rPr>
        <w:t>各乡镇人民政府、郯城街道办事处，县直有关部门，郯城经济开发区管委会，新村银杏产业开发区管委会：</w:t>
      </w:r>
    </w:p>
    <w:p>
      <w:pPr>
        <w:spacing w:line="600" w:lineRule="exact"/>
        <w:ind w:firstLine="640" w:firstLineChars="200"/>
        <w:rPr>
          <w:rFonts w:hint="eastAsia"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rPr>
        <w:t>现将《郯城县节约用水工作联席会议制度》予以印发，请结合实际，认真遵照执行。</w:t>
      </w:r>
    </w:p>
    <w:p>
      <w:pPr>
        <w:spacing w:line="600" w:lineRule="exact"/>
        <w:jc w:val="right"/>
        <w:rPr>
          <w:rFonts w:hint="eastAsia" w:ascii="仿宋_GB2312" w:hAnsi="方正小标宋简体" w:eastAsia="仿宋_GB2312" w:cs="方正小标宋简体"/>
          <w:sz w:val="32"/>
          <w:szCs w:val="32"/>
        </w:rPr>
      </w:pPr>
    </w:p>
    <w:p>
      <w:pPr>
        <w:spacing w:line="600" w:lineRule="exact"/>
        <w:jc w:val="right"/>
        <w:rPr>
          <w:rFonts w:hint="eastAsia" w:ascii="仿宋_GB2312" w:hAnsi="方正小标宋简体" w:eastAsia="仿宋_GB2312" w:cs="方正小标宋简体"/>
          <w:sz w:val="32"/>
          <w:szCs w:val="32"/>
        </w:rPr>
      </w:pPr>
    </w:p>
    <w:p>
      <w:pPr>
        <w:spacing w:line="600" w:lineRule="exact"/>
        <w:jc w:val="right"/>
        <w:rPr>
          <w:rFonts w:hint="eastAsia"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rPr>
        <w:t>郯城县人民政府办公室</w:t>
      </w:r>
    </w:p>
    <w:p>
      <w:pPr>
        <w:spacing w:line="600" w:lineRule="exact"/>
        <w:jc w:val="center"/>
        <w:rPr>
          <w:rFonts w:hint="eastAsia"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lang w:val="en-US" w:eastAsia="zh-CN"/>
        </w:rPr>
        <w:t xml:space="preserve">                                   </w:t>
      </w:r>
      <w:r>
        <w:rPr>
          <w:rFonts w:ascii="仿宋_GB2312" w:hAnsi="方正小标宋简体" w:eastAsia="仿宋_GB2312" w:cs="方正小标宋简体"/>
          <w:sz w:val="32"/>
          <w:szCs w:val="32"/>
        </w:rPr>
        <w:t>2021年</w:t>
      </w:r>
      <w:r>
        <w:rPr>
          <w:rFonts w:hint="eastAsia" w:ascii="仿宋_GB2312" w:hAnsi="方正小标宋简体" w:eastAsia="仿宋_GB2312" w:cs="方正小标宋简体"/>
          <w:sz w:val="32"/>
          <w:szCs w:val="32"/>
          <w:lang w:val="en-US" w:eastAsia="zh-CN"/>
        </w:rPr>
        <w:t>8</w:t>
      </w:r>
      <w:r>
        <w:rPr>
          <w:rFonts w:ascii="仿宋_GB2312" w:hAnsi="方正小标宋简体" w:eastAsia="仿宋_GB2312" w:cs="方正小标宋简体"/>
          <w:sz w:val="32"/>
          <w:szCs w:val="32"/>
        </w:rPr>
        <w:t>月</w:t>
      </w:r>
      <w:r>
        <w:rPr>
          <w:rFonts w:hint="eastAsia" w:ascii="仿宋_GB2312" w:hAnsi="方正小标宋简体" w:eastAsia="仿宋_GB2312" w:cs="方正小标宋简体"/>
          <w:sz w:val="32"/>
          <w:szCs w:val="32"/>
          <w:lang w:val="en-US" w:eastAsia="zh-CN"/>
        </w:rPr>
        <w:t>10</w:t>
      </w:r>
      <w:r>
        <w:rPr>
          <w:rFonts w:ascii="仿宋_GB2312" w:hAnsi="方正小标宋简体" w:eastAsia="仿宋_GB2312" w:cs="方正小标宋简体"/>
          <w:sz w:val="32"/>
          <w:szCs w:val="32"/>
        </w:rPr>
        <w:t>日</w:t>
      </w:r>
    </w:p>
    <w:p>
      <w:pPr>
        <w:overflowPunct w:val="0"/>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郯城县节约用水工作联席会议制度</w:t>
      </w:r>
    </w:p>
    <w:p>
      <w:pPr>
        <w:overflowPunct w:val="0"/>
        <w:spacing w:line="600" w:lineRule="exact"/>
        <w:jc w:val="center"/>
        <w:rPr>
          <w:rFonts w:ascii="Times New Roman" w:hAnsi="Times New Roman" w:eastAsia="方正小标宋简体" w:cs="Times New Roman"/>
        </w:rPr>
      </w:pPr>
    </w:p>
    <w:p>
      <w:pPr>
        <w:overflowPunct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一、联席会议主要职责</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1、负责对全县节约用水形势进行分析研究</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2、向县委县政府提出加强节水工作、推动高质量发展的政策建议</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3、协调解决全县节约用水工作中的重大问题。</w:t>
      </w:r>
    </w:p>
    <w:p>
      <w:pPr>
        <w:overflowPunct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二、联席会议的组成</w:t>
      </w:r>
    </w:p>
    <w:p>
      <w:pPr>
        <w:overflowPunct w:val="0"/>
        <w:spacing w:line="60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（一）联席会议召集人和副召集人。</w:t>
      </w:r>
      <w:r>
        <w:rPr>
          <w:rFonts w:ascii="Times New Roman" w:hAnsi="Times New Roman" w:eastAsia="仿宋_GB2312" w:cs="Times New Roman"/>
          <w:sz w:val="32"/>
          <w:szCs w:val="32"/>
        </w:rPr>
        <w:t>县政府分管副县长任召集人，县政府办公室副主任和县发改局、</w:t>
      </w:r>
      <w:r>
        <w:rPr>
          <w:rFonts w:hint="eastAsia" w:ascii="Times New Roman" w:hAnsi="Times New Roman" w:eastAsia="仿宋_GB2312" w:cs="Times New Roman"/>
          <w:sz w:val="32"/>
          <w:szCs w:val="32"/>
          <w:lang w:eastAsia="zh-CN"/>
        </w:rPr>
        <w:t>县</w:t>
      </w:r>
      <w:r>
        <w:rPr>
          <w:rFonts w:ascii="Times New Roman" w:hAnsi="Times New Roman" w:eastAsia="仿宋_GB2312" w:cs="Times New Roman"/>
          <w:sz w:val="32"/>
          <w:szCs w:val="32"/>
        </w:rPr>
        <w:t>水利局主要负责人为副召集人。召集人主要职责</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提出联席会议职能范围内的议题和其他需要确定的事项，主持联席会议。召集人可委托副召集人主持召开联席会议。</w:t>
      </w:r>
    </w:p>
    <w:p>
      <w:pPr>
        <w:overflowPunct w:val="0"/>
        <w:spacing w:line="60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（二）联席会议成员单位。</w:t>
      </w:r>
      <w:r>
        <w:rPr>
          <w:rFonts w:ascii="Times New Roman" w:hAnsi="Times New Roman" w:eastAsia="仿宋_GB2312" w:cs="Times New Roman"/>
          <w:sz w:val="32"/>
          <w:szCs w:val="32"/>
        </w:rPr>
        <w:t>联席会议由</w:t>
      </w:r>
      <w:r>
        <w:rPr>
          <w:rFonts w:ascii="Times New Roman" w:hAnsi="Times New Roman" w:eastAsia="仿宋_GB2312" w:cs="Times New Roman"/>
          <w:color w:val="000000" w:themeColor="text1"/>
          <w:sz w:val="32"/>
          <w:szCs w:val="32"/>
          <w14:textFill>
            <w14:solidFill>
              <w14:schemeClr w14:val="tx1"/>
            </w14:solidFill>
          </w14:textFill>
        </w:rPr>
        <w:t>县委宣传部、县发展改革局、县机关事务</w:t>
      </w:r>
      <w:r>
        <w:rPr>
          <w:rFonts w:hint="eastAsia" w:ascii="Times New Roman" w:hAnsi="Times New Roman" w:eastAsia="仿宋_GB2312" w:cs="Times New Roman"/>
          <w:color w:val="000000" w:themeColor="text1"/>
          <w:sz w:val="32"/>
          <w:szCs w:val="32"/>
          <w14:textFill>
            <w14:solidFill>
              <w14:schemeClr w14:val="tx1"/>
            </w14:solidFill>
          </w14:textFill>
        </w:rPr>
        <w:t>服务中心</w:t>
      </w:r>
      <w:r>
        <w:rPr>
          <w:rFonts w:ascii="Times New Roman" w:hAnsi="Times New Roman" w:eastAsia="仿宋_GB2312" w:cs="Times New Roman"/>
          <w:sz w:val="32"/>
          <w:szCs w:val="32"/>
        </w:rPr>
        <w:t>、县财政局、县税务局、县教体局、县科技局、县工信局、县自然资源和规划局、市生态环境局郯城</w:t>
      </w:r>
      <w:r>
        <w:rPr>
          <w:rFonts w:hint="eastAsia" w:ascii="Times New Roman" w:hAnsi="Times New Roman" w:eastAsia="仿宋_GB2312" w:cs="Times New Roman"/>
          <w:sz w:val="32"/>
          <w:szCs w:val="32"/>
          <w:lang w:eastAsia="zh-CN"/>
        </w:rPr>
        <w:t>县</w:t>
      </w:r>
      <w:r>
        <w:rPr>
          <w:rFonts w:ascii="Times New Roman" w:hAnsi="Times New Roman" w:eastAsia="仿宋_GB2312" w:cs="Times New Roman"/>
          <w:sz w:val="32"/>
          <w:szCs w:val="32"/>
        </w:rPr>
        <w:t>分局、县住建局、县水利局、县行政审批</w:t>
      </w:r>
      <w:r>
        <w:rPr>
          <w:rFonts w:hint="eastAsia" w:ascii="Times New Roman" w:hAnsi="Times New Roman" w:eastAsia="仿宋_GB2312" w:cs="Times New Roman"/>
          <w:sz w:val="32"/>
          <w:szCs w:val="32"/>
        </w:rPr>
        <w:t>服务</w:t>
      </w:r>
      <w:r>
        <w:rPr>
          <w:rFonts w:ascii="Times New Roman" w:hAnsi="Times New Roman" w:eastAsia="仿宋_GB2312" w:cs="Times New Roman"/>
          <w:sz w:val="32"/>
          <w:szCs w:val="32"/>
        </w:rPr>
        <w:t>局、县农业农村局、县市场监管局、县文化和旅游局、县统计局</w:t>
      </w:r>
      <w:r>
        <w:rPr>
          <w:rFonts w:hint="eastAsia" w:ascii="Times New Roman" w:hAnsi="Times New Roman" w:eastAsia="仿宋_GB2312" w:cs="Times New Roman"/>
          <w:sz w:val="32"/>
          <w:szCs w:val="32"/>
        </w:rPr>
        <w:t>、县综合行政执法局、县住房保障中心</w:t>
      </w:r>
      <w:r>
        <w:rPr>
          <w:rFonts w:ascii="Times New Roman" w:hAnsi="Times New Roman" w:eastAsia="仿宋_GB2312" w:cs="Times New Roman"/>
          <w:sz w:val="32"/>
          <w:szCs w:val="32"/>
        </w:rPr>
        <w:t>等部门和单位组成，各成员单位明确1名分管负责人为联席会议成员。</w:t>
      </w:r>
    </w:p>
    <w:p>
      <w:pPr>
        <w:overflowPunct w:val="0"/>
        <w:spacing w:line="60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（三）联席会议办公室。</w:t>
      </w:r>
      <w:r>
        <w:rPr>
          <w:rFonts w:ascii="Times New Roman" w:hAnsi="Times New Roman" w:eastAsia="仿宋_GB2312" w:cs="Times New Roman"/>
          <w:sz w:val="32"/>
          <w:szCs w:val="32"/>
        </w:rPr>
        <w:t>县节约用水工作联席会议下设办公室，</w:t>
      </w:r>
      <w:r>
        <w:rPr>
          <w:rFonts w:hint="eastAsia" w:ascii="Times New Roman" w:hAnsi="Times New Roman" w:eastAsia="仿宋_GB2312" w:cs="Times New Roman"/>
          <w:sz w:val="32"/>
          <w:szCs w:val="32"/>
          <w:lang w:eastAsia="zh-CN"/>
        </w:rPr>
        <w:t>办公室</w:t>
      </w:r>
      <w:r>
        <w:rPr>
          <w:rFonts w:ascii="Times New Roman" w:hAnsi="Times New Roman" w:eastAsia="仿宋_GB2312" w:cs="Times New Roman"/>
          <w:sz w:val="32"/>
          <w:szCs w:val="32"/>
        </w:rPr>
        <w:t>设在县水利局，承担联席会议的日常工作，县水利局分管负责人担任办公室主任。联席会议各成员单位明确1名联络员。</w:t>
      </w:r>
    </w:p>
    <w:p>
      <w:pPr>
        <w:overflowPunct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三、联席会议办公室及成员单位职责分工</w:t>
      </w:r>
    </w:p>
    <w:p>
      <w:pPr>
        <w:overflowPunct w:val="0"/>
        <w:spacing w:line="60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（一）联席会议办公室主要职责：</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1、联席会议办公室负责提出会议议程，组织会务，编印会议纪要</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2、督办落实联席会议议定事项，协调处理节约用水工作中的有关问题</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3、负责与联席会议各成员单位的联络工作</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4、完成联席会议交办的其他事项。</w:t>
      </w:r>
    </w:p>
    <w:p>
      <w:pPr>
        <w:overflowPunct w:val="0"/>
        <w:spacing w:line="60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（二）联席会议各成员单位职责：</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1、各成员单位承担与落实《郯城县落实国家节水行动实施方案》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郯水发〔2020〕15号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中责任分工相应的职责，按照责任分工具体抓好落实</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2、参加联席会议，认真落实会议确定事项</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3、研究提出节约用水工作意见建议</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4、参与全县节约用水重大问题研究和监督检查</w:t>
      </w:r>
      <w:r>
        <w:rPr>
          <w:rFonts w:hint="eastAsia" w:ascii="Times New Roman" w:hAnsi="Times New Roman" w:eastAsia="仿宋_GB2312" w:cs="Times New Roman"/>
          <w:sz w:val="32"/>
          <w:szCs w:val="32"/>
        </w:rPr>
        <w:t>；</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5、成员单位分管领导出现变动，应及时报告联席会议办公室。  </w:t>
      </w:r>
    </w:p>
    <w:p>
      <w:pPr>
        <w:overflowPunct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四、联席会议工作规则</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1、联席会议原则每半年召开一次，必要时随时召开，会议由联席会议办公室具体负责组织。</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2、联席会议以会议纪要形式明确议定事项，经联席会议召集人或会议主持人签发后印发有关方面落实，同时抄报县政府办公室。</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3、各成员单位按时参加联席会议，并按照职责分工，积极落实联席会议研究确定的各项工作任务，及时研究处理节约用水工作中需要本部门协调解决的问题。</w:t>
      </w:r>
    </w:p>
    <w:p>
      <w:pPr>
        <w:overflowPunct w:val="0"/>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4、各成员单位之间做到信息共享，相互配合，相互支持，形成合力，共同推动全县节约用水工作深入开展。</w:t>
      </w:r>
    </w:p>
    <w:p>
      <w:pPr>
        <w:overflowPunct w:val="0"/>
        <w:spacing w:line="600" w:lineRule="exact"/>
        <w:rPr>
          <w:rFonts w:ascii="Times New Roman" w:hAnsi="Times New Roman" w:eastAsia="仿宋_GB2312" w:cs="Times New Roman"/>
          <w:sz w:val="32"/>
          <w:szCs w:val="32"/>
        </w:rPr>
      </w:pPr>
    </w:p>
    <w:p>
      <w:pPr>
        <w:overflowPunct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附件：郯城县节约用水工作联席会议成员名单</w:t>
      </w: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jc w:val="center"/>
        <w:rPr>
          <w:rFonts w:ascii="Times New Roman" w:hAnsi="Times New Roman" w:eastAsia="仿宋_GB2312" w:cs="Times New Roman"/>
          <w:sz w:val="32"/>
          <w:szCs w:val="32"/>
        </w:rPr>
      </w:pPr>
    </w:p>
    <w:p>
      <w:pPr>
        <w:overflowPunct w:val="0"/>
        <w:spacing w:line="600" w:lineRule="exact"/>
        <w:rPr>
          <w:rFonts w:ascii="Times New Roman" w:hAnsi="Times New Roman" w:eastAsia="仿宋_GB2312" w:cs="Times New Roman"/>
          <w:sz w:val="32"/>
          <w:szCs w:val="32"/>
        </w:rPr>
      </w:pPr>
    </w:p>
    <w:p>
      <w:pPr>
        <w:overflowPunct w:val="0"/>
        <w:spacing w:line="600" w:lineRule="exact"/>
        <w:rPr>
          <w:rFonts w:ascii="Times New Roman" w:hAnsi="Times New Roman" w:eastAsia="仿宋_GB2312" w:cs="Times New Roman"/>
          <w:sz w:val="32"/>
          <w:szCs w:val="32"/>
        </w:rPr>
      </w:pPr>
    </w:p>
    <w:p>
      <w:pPr>
        <w:overflowPunct w:val="0"/>
        <w:spacing w:line="576"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郯城县节约用水工作联席会议成员名单</w:t>
      </w:r>
    </w:p>
    <w:p>
      <w:pPr>
        <w:overflowPunct w:val="0"/>
        <w:spacing w:line="576" w:lineRule="exact"/>
        <w:ind w:firstLine="640" w:firstLineChars="200"/>
        <w:rPr>
          <w:rFonts w:ascii="Times New Roman" w:hAnsi="Times New Roman" w:eastAsia="仿宋_GB2312" w:cs="Times New Roman"/>
          <w:sz w:val="32"/>
          <w:szCs w:val="32"/>
        </w:rPr>
      </w:pPr>
    </w:p>
    <w:p>
      <w:pPr>
        <w:overflowPunct w:val="0"/>
        <w:spacing w:line="576" w:lineRule="exact"/>
        <w:ind w:firstLine="320" w:firstLineChars="100"/>
        <w:rPr>
          <w:rFonts w:ascii="Times New Roman" w:hAnsi="Times New Roman" w:eastAsia="仿宋_GB2312" w:cs="Times New Roman"/>
          <w:sz w:val="32"/>
          <w:szCs w:val="32"/>
        </w:rPr>
      </w:pPr>
      <w:r>
        <w:rPr>
          <w:rFonts w:ascii="Times New Roman" w:hAnsi="Times New Roman" w:eastAsia="黑体" w:cs="Times New Roman"/>
          <w:sz w:val="32"/>
          <w:szCs w:val="32"/>
        </w:rPr>
        <w:t>一、召 集 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李晓法  县政府副县长</w:t>
      </w:r>
    </w:p>
    <w:p>
      <w:pPr>
        <w:overflowPunct w:val="0"/>
        <w:spacing w:line="576" w:lineRule="exact"/>
        <w:ind w:firstLine="320" w:firstLineChars="100"/>
        <w:rPr>
          <w:rFonts w:hint="eastAsia" w:ascii="Times New Roman" w:hAnsi="Times New Roman" w:eastAsia="仿宋_GB2312" w:cs="Times New Roman"/>
          <w:sz w:val="32"/>
          <w:szCs w:val="32"/>
        </w:rPr>
      </w:pPr>
      <w:r>
        <w:rPr>
          <w:rFonts w:ascii="Times New Roman" w:hAnsi="Times New Roman" w:eastAsia="黑体" w:cs="Times New Roman"/>
          <w:sz w:val="32"/>
          <w:szCs w:val="32"/>
        </w:rPr>
        <w:t>二、副召集人</w:t>
      </w:r>
      <w:r>
        <w:rPr>
          <w:rFonts w:hint="eastAsia" w:ascii="Times New Roman" w:hAnsi="Times New Roman" w:eastAsia="黑体" w:cs="Times New Roman"/>
          <w:sz w:val="32"/>
          <w:szCs w:val="32"/>
        </w:rPr>
        <w:t>：</w:t>
      </w:r>
      <w:r>
        <w:rPr>
          <w:rFonts w:ascii="Times New Roman" w:hAnsi="Times New Roman" w:eastAsia="仿宋_GB2312" w:cs="Times New Roman"/>
          <w:sz w:val="32"/>
          <w:szCs w:val="32"/>
        </w:rPr>
        <w:t>于升飞  县政府办公室</w:t>
      </w:r>
      <w:r>
        <w:rPr>
          <w:rFonts w:hint="eastAsia" w:ascii="Times New Roman" w:hAnsi="Times New Roman" w:eastAsia="仿宋_GB2312" w:cs="Times New Roman"/>
          <w:sz w:val="32"/>
          <w:szCs w:val="32"/>
        </w:rPr>
        <w:t>党组成员、副主任</w:t>
      </w:r>
    </w:p>
    <w:p>
      <w:pPr>
        <w:overflowPunct w:val="0"/>
        <w:spacing w:line="576" w:lineRule="exact"/>
        <w:ind w:firstLine="3840" w:firstLineChars="1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县大数据中心主任、扶贫办副主任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谢  飞  县水利局局长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岳志强  县发改局局长</w:t>
      </w:r>
    </w:p>
    <w:p>
      <w:pPr>
        <w:overflowPunct w:val="0"/>
        <w:spacing w:line="576" w:lineRule="exact"/>
        <w:ind w:firstLine="320" w:firstLineChars="100"/>
        <w:rPr>
          <w:rFonts w:ascii="Times New Roman" w:hAnsi="Times New Roman" w:eastAsia="仿宋_GB2312" w:cs="Times New Roman"/>
          <w:sz w:val="32"/>
          <w:szCs w:val="32"/>
        </w:rPr>
      </w:pPr>
      <w:r>
        <w:rPr>
          <w:rFonts w:ascii="Times New Roman" w:hAnsi="Times New Roman" w:eastAsia="黑体" w:cs="Times New Roman"/>
          <w:sz w:val="32"/>
          <w:szCs w:val="32"/>
        </w:rPr>
        <w:t>三、成   员</w:t>
      </w:r>
      <w:r>
        <w:rPr>
          <w:rFonts w:hint="eastAsia" w:ascii="Times New Roman" w:hAnsi="Times New Roman" w:eastAsia="黑体" w:cs="Times New Roman"/>
          <w:sz w:val="32"/>
          <w:szCs w:val="32"/>
        </w:rPr>
        <w:t xml:space="preserve">： </w:t>
      </w:r>
      <w:r>
        <w:rPr>
          <w:rFonts w:ascii="Times New Roman" w:hAnsi="Times New Roman" w:eastAsia="仿宋_GB2312" w:cs="Times New Roman"/>
          <w:sz w:val="32"/>
          <w:szCs w:val="32"/>
        </w:rPr>
        <w:t>徐  方  县</w:t>
      </w:r>
      <w:r>
        <w:rPr>
          <w:rFonts w:hint="eastAsia" w:ascii="Times New Roman" w:hAnsi="Times New Roman" w:eastAsia="仿宋_GB2312" w:cs="Times New Roman"/>
          <w:sz w:val="32"/>
          <w:szCs w:val="32"/>
        </w:rPr>
        <w:t>互</w:t>
      </w:r>
      <w:r>
        <w:rPr>
          <w:rFonts w:ascii="Times New Roman" w:hAnsi="Times New Roman" w:eastAsia="仿宋_GB2312" w:cs="Times New Roman"/>
          <w:sz w:val="32"/>
          <w:szCs w:val="32"/>
        </w:rPr>
        <w:t>联网信息安全服务中心副主任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展鹏飞  县发改局二级主任科员</w:t>
      </w:r>
    </w:p>
    <w:p>
      <w:pPr>
        <w:overflowPunct w:val="0"/>
        <w:spacing w:line="576" w:lineRule="exact"/>
        <w:ind w:firstLine="2560" w:firstLineChars="8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徐  琳  县综合行政执法局副局长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郑  磊  县机关事务服务中心副主任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夏传永  县财政事</w:t>
      </w:r>
      <w:r>
        <w:rPr>
          <w:rFonts w:hint="eastAsia" w:ascii="Times New Roman" w:hAnsi="Times New Roman" w:eastAsia="仿宋_GB2312" w:cs="Times New Roman"/>
          <w:sz w:val="32"/>
          <w:szCs w:val="32"/>
          <w:lang w:eastAsia="zh-CN"/>
        </w:rPr>
        <w:t>务</w:t>
      </w:r>
      <w:r>
        <w:rPr>
          <w:rFonts w:ascii="Times New Roman" w:hAnsi="Times New Roman" w:eastAsia="仿宋_GB2312" w:cs="Times New Roman"/>
          <w:sz w:val="32"/>
          <w:szCs w:val="32"/>
        </w:rPr>
        <w:t>服务中心主任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艾卫国  县税务局副局长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王国胜  县教体局副局长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马  飞  县科技局副局长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梁慧丽  县工业经济运行研究中心主任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张玉果  县自然资源和规划局副局长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陈洪军  县生态环境局二级主任科员</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孙茂元  县住</w:t>
      </w:r>
      <w:r>
        <w:rPr>
          <w:rFonts w:hint="eastAsia" w:ascii="Times New Roman" w:hAnsi="Times New Roman" w:eastAsia="仿宋_GB2312" w:cs="Times New Roman"/>
          <w:sz w:val="32"/>
          <w:szCs w:val="32"/>
          <w:lang w:eastAsia="zh-CN"/>
        </w:rPr>
        <w:t>建</w:t>
      </w:r>
      <w:r>
        <w:rPr>
          <w:rFonts w:ascii="Times New Roman" w:hAnsi="Times New Roman" w:eastAsia="仿宋_GB2312" w:cs="Times New Roman"/>
          <w:sz w:val="32"/>
          <w:szCs w:val="32"/>
        </w:rPr>
        <w:t>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王  渊  县水利局副局长</w:t>
      </w:r>
    </w:p>
    <w:p>
      <w:pPr>
        <w:overflowPunct w:val="0"/>
        <w:spacing w:line="576" w:lineRule="exact"/>
        <w:ind w:firstLine="2560" w:firstLineChars="8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赵  峰</w:t>
      </w:r>
      <w:r>
        <w:rPr>
          <w:rFonts w:ascii="Times New Roman" w:hAnsi="Times New Roman" w:eastAsia="仿宋_GB2312" w:cs="Times New Roman"/>
          <w:sz w:val="32"/>
          <w:szCs w:val="32"/>
        </w:rPr>
        <w:t xml:space="preserve">  县行政审批服务局副局长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倪维龙  县农业农村局副局长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徐  军  县市场监管局副局长</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肖亚飞  县文化旅游发展促进中心主任</w:t>
      </w:r>
    </w:p>
    <w:p>
      <w:pPr>
        <w:overflowPunct w:val="0"/>
        <w:spacing w:line="576" w:lineRule="exact"/>
        <w:ind w:firstLine="2560" w:firstLineChars="800"/>
        <w:rPr>
          <w:rFonts w:ascii="Times New Roman" w:hAnsi="Times New Roman" w:eastAsia="仿宋_GB2312" w:cs="Times New Roman"/>
          <w:sz w:val="32"/>
          <w:szCs w:val="32"/>
        </w:rPr>
      </w:pPr>
      <w:r>
        <w:rPr>
          <w:rFonts w:ascii="Times New Roman" w:hAnsi="Times New Roman" w:eastAsia="仿宋_GB2312" w:cs="Times New Roman"/>
          <w:sz w:val="32"/>
          <w:szCs w:val="32"/>
        </w:rPr>
        <w:t>杜国强  县统计局副局长</w:t>
      </w:r>
    </w:p>
    <w:p>
      <w:pPr>
        <w:overflowPunct w:val="0"/>
        <w:spacing w:line="576" w:lineRule="exact"/>
        <w:ind w:firstLine="2560" w:firstLineChars="8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冯全伟  县住房保障中心副主任</w:t>
      </w:r>
    </w:p>
    <w:p>
      <w:pPr>
        <w:overflowPunct w:val="0"/>
        <w:spacing w:line="576" w:lineRule="exact"/>
        <w:ind w:firstLine="640" w:firstLineChars="200"/>
        <w:rPr>
          <w:rFonts w:hint="eastAsia" w:ascii="Times New Roman" w:hAnsi="Times New Roman" w:eastAsia="仿宋_GB2312" w:cs="Times New Roman"/>
          <w:sz w:val="32"/>
          <w:szCs w:val="32"/>
        </w:rPr>
      </w:pPr>
    </w:p>
    <w:p>
      <w:pPr>
        <w:overflowPunct w:val="0"/>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县节约用水工作联席会议下设办公室，</w:t>
      </w:r>
      <w:r>
        <w:rPr>
          <w:rFonts w:hint="eastAsia" w:ascii="Times New Roman" w:hAnsi="Times New Roman" w:eastAsia="仿宋_GB2312" w:cs="Times New Roman"/>
          <w:sz w:val="32"/>
          <w:szCs w:val="32"/>
          <w:lang w:eastAsia="zh-CN"/>
        </w:rPr>
        <w:t>办公室</w:t>
      </w:r>
      <w:r>
        <w:rPr>
          <w:rFonts w:ascii="Times New Roman" w:hAnsi="Times New Roman" w:eastAsia="仿宋_GB2312" w:cs="Times New Roman"/>
          <w:sz w:val="32"/>
          <w:szCs w:val="32"/>
        </w:rPr>
        <w:t>设在县水利局，承担联席会议的日常工作，县水利局分管负责人担任办公室主任。</w:t>
      </w:r>
    </w:p>
    <w:p/>
    <w:p>
      <w:pPr>
        <w:pStyle w:val="4"/>
        <w:rPr>
          <w:rFonts w:hint="default" w:cs="仿宋_GB2312"/>
          <w:sz w:val="32"/>
          <w:szCs w:val="32"/>
          <w:lang w:val="en-US" w:eastAsia="zh-CN"/>
        </w:rPr>
        <w:sectPr>
          <w:footerReference r:id="rId15" w:type="default"/>
          <w:pgSz w:w="11906" w:h="16838"/>
          <w:pgMar w:top="1814" w:right="1588" w:bottom="1701" w:left="1588" w:header="851" w:footer="992" w:gutter="0"/>
          <w:pgNumType w:fmt="decimal"/>
          <w:cols w:space="425" w:num="1"/>
          <w:docGrid w:type="lines" w:linePitch="312" w:charSpace="0"/>
        </w:sectPr>
      </w:pPr>
    </w:p>
    <w:p>
      <w:pPr>
        <w:pStyle w:val="4"/>
        <w:jc w:val="both"/>
        <w:rPr>
          <w:rFonts w:ascii="Times New Roman"/>
          <w:sz w:val="20"/>
        </w:rPr>
      </w:pPr>
    </w:p>
    <w:p>
      <w:pPr>
        <w:pStyle w:val="4"/>
        <w:jc w:val="both"/>
        <w:rPr>
          <w:rFonts w:ascii="Times New Roman"/>
          <w:sz w:val="20"/>
        </w:rPr>
      </w:pPr>
    </w:p>
    <w:p>
      <w:pPr>
        <w:pStyle w:val="4"/>
        <w:jc w:val="both"/>
        <w:rPr>
          <w:rFonts w:ascii="Times New Roman"/>
          <w:sz w:val="20"/>
        </w:rPr>
      </w:pPr>
    </w:p>
    <w:p>
      <w:pPr>
        <w:pStyle w:val="4"/>
        <w:jc w:val="both"/>
        <w:rPr>
          <w:rFonts w:ascii="Times New Roman"/>
          <w:sz w:val="20"/>
        </w:rPr>
      </w:pPr>
    </w:p>
    <w:p>
      <w:pPr>
        <w:pStyle w:val="4"/>
        <w:jc w:val="both"/>
        <w:rPr>
          <w:rFonts w:ascii="Times New Roman"/>
          <w:sz w:val="20"/>
        </w:rPr>
      </w:pPr>
    </w:p>
    <w:p>
      <w:pPr>
        <w:pStyle w:val="4"/>
        <w:jc w:val="both"/>
        <w:rPr>
          <w:rFonts w:ascii="Times New Roman"/>
          <w:sz w:val="20"/>
        </w:rPr>
      </w:pPr>
    </w:p>
    <w:p>
      <w:pPr>
        <w:pStyle w:val="4"/>
        <w:jc w:val="center"/>
        <w:rPr>
          <w:rFonts w:ascii="Times New Roman"/>
          <w:sz w:val="20"/>
        </w:rPr>
      </w:pPr>
    </w:p>
    <w:p>
      <w:pPr>
        <w:pStyle w:val="8"/>
        <w:keepNext w:val="0"/>
        <w:keepLines w:val="0"/>
        <w:widowControl/>
        <w:suppressLineNumbers w:val="0"/>
        <w:spacing w:before="0" w:beforeAutospacing="0" w:after="150" w:afterAutospacing="0"/>
        <w:ind w:left="0" w:right="0"/>
        <w:jc w:val="center"/>
        <w:rPr>
          <w:rFonts w:hint="eastAsia" w:ascii="仿宋_GB2312" w:hAnsi="仿宋_GB2312" w:eastAsia="仿宋_GB2312" w:cs="仿宋_GB2312"/>
          <w:sz w:val="32"/>
          <w:szCs w:val="28"/>
        </w:rPr>
      </w:pPr>
      <w:r>
        <w:rPr>
          <w:rFonts w:hint="eastAsia" w:ascii="仿宋_GB2312" w:hAnsi="仿宋_GB2312" w:eastAsia="仿宋_GB2312" w:cs="仿宋_GB2312"/>
          <w:color w:val="212121"/>
          <w:sz w:val="32"/>
          <w:szCs w:val="28"/>
        </w:rPr>
        <w:t>郯政办字〔2021〕50号</w:t>
      </w:r>
    </w:p>
    <w:p>
      <w:pPr>
        <w:pStyle w:val="4"/>
        <w:jc w:val="center"/>
        <w:rPr>
          <w:rFonts w:ascii="Times New Roman"/>
          <w:sz w:val="20"/>
        </w:rPr>
      </w:pPr>
    </w:p>
    <w:p>
      <w:pPr>
        <w:pStyle w:val="4"/>
        <w:spacing w:before="11"/>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w:t>
      </w:r>
      <w:r>
        <w:rPr>
          <w:rFonts w:hint="eastAsia" w:ascii="方正小标宋简体" w:hAnsi="方正小标宋简体" w:eastAsia="方正小标宋简体" w:cs="方正小标宋简体"/>
          <w:sz w:val="44"/>
          <w:szCs w:val="44"/>
          <w:lang w:val="en-US" w:eastAsia="zh-CN"/>
        </w:rPr>
        <w:t>发郯城县</w:t>
      </w:r>
      <w:r>
        <w:rPr>
          <w:rFonts w:hint="eastAsia" w:ascii="方正小标宋简体" w:hAnsi="方正小标宋简体" w:eastAsia="方正小标宋简体" w:cs="方正小标宋简体"/>
          <w:sz w:val="44"/>
          <w:szCs w:val="44"/>
        </w:rPr>
        <w:t>政务服务“双全双百”</w:t>
      </w:r>
    </w:p>
    <w:p>
      <w:pPr>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工程实施方案的通知</w:t>
      </w:r>
    </w:p>
    <w:p>
      <w:pPr>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县直</w:t>
      </w:r>
      <w:r>
        <w:rPr>
          <w:rFonts w:hint="eastAsia" w:ascii="仿宋_GB2312" w:hAnsi="仿宋_GB2312" w:eastAsia="仿宋_GB2312" w:cs="仿宋_GB2312"/>
          <w:sz w:val="32"/>
          <w:szCs w:val="32"/>
        </w:rPr>
        <w:t>有关部门单位：</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现将《</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政务服务“双全双百”工程实施方案》印发给你们，请认真贯彻执行。</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val="0"/>
        <w:overflowPunct/>
        <w:topLinePunct w:val="0"/>
        <w:autoSpaceDE w:val="0"/>
        <w:autoSpaceDN w:val="0"/>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   </w:t>
      </w:r>
    </w:p>
    <w:p>
      <w:pPr>
        <w:keepNext w:val="0"/>
        <w:keepLines w:val="0"/>
        <w:pageBreakBefore w:val="0"/>
        <w:widowControl w:val="0"/>
        <w:kinsoku/>
        <w:wordWrap w:val="0"/>
        <w:overflowPunct/>
        <w:topLinePunct w:val="0"/>
        <w:autoSpaceDE w:val="0"/>
        <w:autoSpaceDN w:val="0"/>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sectPr>
          <w:footerReference r:id="rId16" w:type="default"/>
          <w:footerReference r:id="rId17" w:type="even"/>
          <w:pgSz w:w="11910" w:h="16840"/>
          <w:pgMar w:top="1814" w:right="1587" w:bottom="1701" w:left="1587" w:header="720" w:footer="1200" w:gutter="0"/>
          <w:pgNumType w:fmt="decimal"/>
          <w:cols w:space="720" w:num="1"/>
        </w:sectPr>
      </w:pPr>
      <w:r>
        <w:rPr>
          <w:rFonts w:hint="eastAsia" w:ascii="仿宋_GB2312" w:hAnsi="仿宋_GB2312" w:eastAsia="仿宋_GB2312" w:cs="仿宋_GB2312"/>
          <w:sz w:val="32"/>
          <w:szCs w:val="32"/>
          <w:lang w:val="en-US" w:eastAsia="zh-CN"/>
        </w:rPr>
        <w:t xml:space="preserve"> </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w:t>
      </w:r>
      <w:r>
        <w:rPr>
          <w:rFonts w:hint="eastAsia" w:ascii="方正小标宋简体" w:hAnsi="方正小标宋简体" w:eastAsia="方正小标宋简体" w:cs="方正小标宋简体"/>
          <w:sz w:val="44"/>
          <w:szCs w:val="44"/>
        </w:rPr>
        <w:t>政务服务“双全双百”工程</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实施方案</w:t>
      </w:r>
    </w:p>
    <w:p>
      <w:pPr>
        <w:pStyle w:val="4"/>
        <w:keepNext w:val="0"/>
        <w:keepLines w:val="0"/>
        <w:pageBreakBefore w:val="0"/>
        <w:widowControl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全面深化“放管服”改革，进一步提高政务服务效能，建立完善企业个人全生命周期服务体系，增强企业群众改革获得感和满意度，根据《山东省政务服务“双全双百”工程实施方案》（鲁政办发〔2021〕7号）和《临沂市政务服务“双全双百”工程实施方案》（临政办字〔2021〕37号）安排部署，现就我县推进政务服务“双全双百”工程制定以下实施方案。</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一、目标原则</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（一）工作目标</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从企业群众需求出发，对标全</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最佳实践，突出场景应用、数据驱动，2021年底前，围绕企业开办、准营、运营、退出等阶段和个人出生、教育、工作、婚育、养老等阶段，各推出不少于10</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项办事需求大、关联度高、企业群众获得感强的高频事项，实行流程再造，实现“极简办、集成办、全域办”，为企业个人全生命周期各个重要阶段提供清晰的办事指引和集成化的办事服务，全面构建部门协同、整体联动、线上线下融合的政务服务新模式，推动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政务服务水平走在全省前列。</w:t>
      </w:r>
    </w:p>
    <w:p>
      <w:pPr>
        <w:pStyle w:val="4"/>
        <w:keepNext w:val="0"/>
        <w:keepLines w:val="0"/>
        <w:pageBreakBefore w:val="0"/>
        <w:widowControl w:val="0"/>
        <w:kinsoku/>
        <w:wordWrap/>
        <w:overflowPunct/>
        <w:topLinePunct w:val="0"/>
        <w:autoSpaceDE w:val="0"/>
        <w:autoSpaceDN w:val="0"/>
        <w:bidi w:val="0"/>
        <w:adjustRightInd/>
        <w:snapToGrid/>
        <w:spacing w:line="600" w:lineRule="exact"/>
        <w:ind w:left="767"/>
        <w:jc w:val="both"/>
        <w:textAlignment w:val="auto"/>
        <w:rPr>
          <w:rFonts w:hint="eastAsia" w:ascii="楷体_GB2312" w:eastAsia="楷体_GB2312"/>
        </w:rPr>
      </w:pPr>
      <w:r>
        <w:rPr>
          <w:rFonts w:hint="eastAsia" w:ascii="楷体_GB2312" w:eastAsia="楷体_GB2312"/>
        </w:rPr>
        <w:t>（二）基本原则</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坚持需求导向。聚焦企业群众普遍关注、需求集中的重点领域高频事项，从需求侧场景出发，加快制度创新流程再造，全面破解影响企业群众办事创业的难点堵点，推进服务“有求必应、无事不扰”。</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坚持数据驱动。充分发挥数据共享支撑作用，强化大数据、人工智能、区块链等技术应用，推进“云、数、网、端”整合、共享、开放，不断拓展数据共享应用场景，推广使用电子证照、电子档案、电子印章，提升政务服务智能化水平。</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坚持集成联动。立足全生命周期，改进服务方式，丰富办事渠道，实行线上线下一体推进、融合互补、标准一致，打造场景化服务模式，完善改革配套措施，强化市县协同、部门联动，放大综合效应，打造精简高效的服务体系。</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坚持结果导向。把用户体验作为衡量服务质量的唯一标准，围绕网上办、掌上办、自助办、智能办，全面提升办事平台功能，实现从“可用向好用”、从“好用向爱用”转变，强化成果验收，科学评判成效，构建动态优化的闭环运行机制。</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二、重点任务</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（一）对照两张清单，推动流程再造</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推进极简办。7月底前，县直部门单位主动对接市级业务主管部门，围绕“双全双百”清单事项（附件1、2），对标全国最佳案例，逐项提出本系统本领域“减材料、减环节、减时限、减费用、减跑动”等流程再造措施，确保清单事项的办理环节、材料、时间、费用、跑动次数等均达到全市领先、全省一流水平。（县直有关部门单位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深化集成办。7月中旬前，根据生命周期场景划分和企业群众办事需求，各牵头部门组织协同部门，围绕开展“事项联办”和“一链办理”主题式服务，梳理办事场景事项链条，按照“一次告知、一个窗口、一张表单、一组流程、一套材料”的要求，重塑部门协同配合服务流程，出台“一件事”主题服务流程再造方案，推进“双全双百”事项集成化办理。按照统一流程和标准，结合实际，全面组织实施。（县直有关部门单位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全域办。围绕保障改善民生、促进就业创业和便利企业群众跨区域生产生活，强化业务协同、数据共享，打破区域限制和部门壁垒，7月底前，分类推进跨省通办、全省通办、全市通办改革，实现“双全双百”事项就近可办、跨域通办。推广应用临沂市跨域通办证照制作辅助系统，加强与长三角地区、淮海经济区、鲁南经济圈等城市合作，构建跨域通办常态化机制，为加快推动区域一体化发展和打造长三角产业转移“大后方”提供服务保障。（县行政审批服务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（二）线上线下融合，打造服务专区</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推动线下服务创新。8月底前，在县政务服务中心及公共服务机构等设置相关事项办事窗口，实行线下“一窗综合受理”，编制“双全双百”服务手册，提供全方位咨询引导服务。完善帮办代办机制，组建流动服务队，实行“厅内帮办代办+厅外流动服务”，提升对老年人、残疾人等特殊群体的无障碍服务能力和项目服务保障能力。推动企业群众办事需求高的“双全双百”事项下沉基层实施，打造15分钟政务服务圈，实现企业群众就近办理。（县行政审批服务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建设线上服务专区。完善提升政务服务平台、爱山东APP等平台服务功能，推进申请、受理、审批、发证、归档全程电子化，实现更多高频事项不见面办理。9月底前，在政务服务网（郯城站）和“爱山东”APP郯城分厅建设“双全双百”服务专区，按照“主题突出、界面友好、一屏尽览、信息集成”原则，对全生命周期各阶段政务服务事项进行梳理汇总、分类打包，推动零散信息和办理渠道在网上集成，为企业个人全生命周期各个重要阶段提供清晰的办事指引和集成化的办事渠道，实现线上“一网通办”。（县行政审批服务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（三）突出数据共享，夯实改革保障</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统一事项办理标准。依托山东省政务服务事项管理系统，对“双全双百”事项要素实行同源管理和动态调整，及时更新维护流程再造成果，确保要素准确性。7月底前，各牵头部门组织协同部门，按照优化的服务流程，编制“双全双百”事项工作规范和“零基础”标准化办事指南，统一明确办理条件、申请材料、办理流程和审查标准等要素，实现同一事项在全市无差别受理、同标准办理。（县直有关部门单位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强化数据共享应用。7月底前，组织县直部门单位根据事项办理和集成服务需要，形成数据共享需求清单。9月底前，建立以场景应用授权为基础的数据共享机制，加强电子证照、电子印章、电子签名、电子档案等基础应用，能通过数据共享查询、核验的，不得要求申请人到现场核验材料原件，实现更多申报材料“免提交”，全面打造“无证明城市”。12月底前，按照清单需求，推动数据资源共享应用和业务协同，支撑政务服务流程和功能优化，实现更多事项“秒批秒办、无感审批”。（县大数据局、县行政审批服务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建设企业个人数字档案。9月底前，按照“一企一档”“一人一档”要求，建立企业个人全生命周期数字档案，全面汇聚企业个人全生命周期行为数据，综合分析需求，强化大数据综合分析和区块链技术应用，为政策推送、精准服务、高效监管等提供支撑。完善“政企直通车”平台功能，完善提升企业库、政策库、事项库，根据企业类型自动匹配服务、资金、补贴、税收等政策，实现各类惠企政策“精准推送、智能兑现”，推动政府部门从被动服务向主动服务转变。（县行政审批服务局、县大数据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9.完善“好差评”体系。将“好差评”作为收集企业群众反馈的重要途径，不断完善政务服务“好差评”制度体系，引导企业群众通过线上二维码、线下评价器等渠道进行服务评价，实现“一次一评、一事一评”。加强“好差评”数据分析研判，及时发现问题、以评促改，对收集到的差评，按照“1、5、15” 时限做好问题整改，确保有诉必应、接诉即办。（县行政审批服务局牵头，县直部门单位分工负责，具体分工见附件1、2）</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三、组织保障</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加强组织领导。县行政审批服务局负责政务服务“双全双百”工程的统筹协调，组织各部门认领“双全双百”事项清单，协调解决有关重大问题。县大数据局负责强化数据协同共享保障。各牵头部门要加强主责意识，会同协同部门，主动加强与上级业务主管部门沟通衔接，对照“双全双百” 事项清单，编制工作规范，梳理办事场景，推进一链办理，加强业务培训，通过联合发文的形式共同制定出台具体改革方案，将各项改革任务分解到位、落实到人。</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强化监督指导。县行政审批服务局要会同县政府办公室加强督导调度，建立工作台账，对各部门重点任务完成情况，特别是对流程优化、集成办理、规范编制、平台建设、数据共享等方面进行监督检查，实行“月调度月通报”。改革任务完成后要及时进行验收评估。充分利用政务服务“好差评”等方式，实现服务绩效动态评价。各部门单位相关工作落实和服务评价情况纳入全县政务服务年度评估、评价范围。</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坚持动态调整。各部门要坚持需求导向和问题导向相统一，定期对工作开展情况进行总结评估，听取企业群众对“双全双百”事项办理情况的意见反馈，根据流程优化和办事需求，及时扩展充实“双全双百”事项清单，探索推出更多服务场景，配套完善业务流程和工作规范，不断提升数据赋能场景支撑能力，形成持续迭代的常态化工作机制。</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营造改革氛围。各部门单位要加大对政务服务“双全双百”工程的宣传力度，充分利用报纸、广播、电视、网络、新媒体等，及时总结推广好经验好做法，创新社会参与机制，拓宽公众参与渠道，提高企业和群众对政务服务“双全双百” 工程的知晓度、参与度，营造社会关注、市场认可、群众满意、各方支持的良好氛围。</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附件：1.企业全生命周期事项清单及责任分工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2.个人全生命周期事项清单及责任分工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3.郯城县“双全双百”工程任务配档表</w:t>
      </w:r>
    </w:p>
    <w:p>
      <w:pPr>
        <w:keepNext w:val="0"/>
        <w:keepLines w:val="0"/>
        <w:pageBreakBefore w:val="0"/>
        <w:widowControl w:val="0"/>
        <w:kinsoku/>
        <w:wordWrap/>
        <w:overflowPunct/>
        <w:topLinePunct w:val="0"/>
        <w:autoSpaceDE w:val="0"/>
        <w:autoSpaceDN w:val="0"/>
        <w:bidi w:val="0"/>
        <w:adjustRightInd/>
        <w:snapToGrid/>
        <w:spacing w:after="0" w:line="600" w:lineRule="exact"/>
        <w:jc w:val="both"/>
        <w:textAlignment w:val="auto"/>
        <w:rPr>
          <w:sz w:val="32"/>
        </w:rPr>
        <w:sectPr>
          <w:pgSz w:w="11910" w:h="16840"/>
          <w:pgMar w:top="1814" w:right="1587" w:bottom="1701" w:left="1587" w:header="0" w:footer="1043" w:gutter="0"/>
          <w:pgNumType w:fmt="decimal"/>
          <w:cols w:space="720" w:num="1"/>
        </w:sectPr>
      </w:pPr>
    </w:p>
    <w:p>
      <w:pPr>
        <w:spacing w:before="61"/>
        <w:ind w:left="218" w:right="0" w:firstLine="0"/>
        <w:jc w:val="both"/>
        <w:rPr>
          <w:rFonts w:ascii="黑体"/>
          <w:sz w:val="20"/>
        </w:rPr>
      </w:pPr>
      <w:r>
        <w:rPr>
          <w:rFonts w:hint="eastAsia" w:ascii="黑体" w:eastAsia="黑体"/>
          <w:sz w:val="28"/>
        </w:rPr>
        <w:t>附件 1</w:t>
      </w:r>
    </w:p>
    <w:p>
      <w:pPr>
        <w:pStyle w:val="4"/>
        <w:spacing w:before="11"/>
        <w:jc w:val="both"/>
        <w:rPr>
          <w:rFonts w:ascii="黑体"/>
          <w:sz w:val="17"/>
        </w:rPr>
      </w:pPr>
    </w:p>
    <w:p>
      <w:pPr>
        <w:pStyle w:val="3"/>
        <w:ind w:left="1178" w:right="1432"/>
        <w:jc w:val="both"/>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企业全生命周期事项清单及责任分工</w:t>
      </w:r>
    </w:p>
    <w:p>
      <w:pPr>
        <w:pStyle w:val="4"/>
        <w:spacing w:before="12"/>
        <w:jc w:val="both"/>
        <w:rPr>
          <w:sz w:val="19"/>
        </w:rPr>
      </w:pPr>
    </w:p>
    <w:tbl>
      <w:tblPr>
        <w:tblStyle w:val="10"/>
        <w:tblW w:w="9596"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511"/>
        <w:gridCol w:w="750"/>
        <w:gridCol w:w="618"/>
        <w:gridCol w:w="3484"/>
        <w:gridCol w:w="1228"/>
        <w:gridCol w:w="821"/>
        <w:gridCol w:w="1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578" w:type="dxa"/>
            <w:vAlign w:val="center"/>
          </w:tcPr>
          <w:p>
            <w:pPr>
              <w:pStyle w:val="33"/>
              <w:spacing w:before="200" w:line="242" w:lineRule="auto"/>
              <w:ind w:left="163" w:right="152"/>
              <w:jc w:val="center"/>
              <w:rPr>
                <w:rFonts w:hint="eastAsia" w:ascii="黑体" w:eastAsia="黑体"/>
                <w:sz w:val="24"/>
              </w:rPr>
            </w:pPr>
            <w:r>
              <w:rPr>
                <w:rFonts w:hint="eastAsia" w:ascii="黑体" w:eastAsia="黑体"/>
                <w:sz w:val="24"/>
              </w:rPr>
              <w:t>序号</w:t>
            </w:r>
          </w:p>
        </w:tc>
        <w:tc>
          <w:tcPr>
            <w:tcW w:w="511" w:type="dxa"/>
            <w:vAlign w:val="center"/>
          </w:tcPr>
          <w:p>
            <w:pPr>
              <w:pStyle w:val="33"/>
              <w:spacing w:before="200" w:line="242" w:lineRule="auto"/>
              <w:ind w:left="131" w:right="118"/>
              <w:jc w:val="center"/>
              <w:rPr>
                <w:rFonts w:hint="eastAsia" w:ascii="黑体" w:eastAsia="黑体"/>
                <w:sz w:val="24"/>
              </w:rPr>
            </w:pPr>
            <w:r>
              <w:rPr>
                <w:rFonts w:hint="eastAsia" w:ascii="黑体" w:eastAsia="黑体"/>
                <w:sz w:val="24"/>
              </w:rPr>
              <w:t>阶段</w:t>
            </w:r>
          </w:p>
        </w:tc>
        <w:tc>
          <w:tcPr>
            <w:tcW w:w="750" w:type="dxa"/>
            <w:vAlign w:val="center"/>
          </w:tcPr>
          <w:p>
            <w:pPr>
              <w:pStyle w:val="33"/>
              <w:ind w:right="96"/>
              <w:jc w:val="center"/>
              <w:rPr>
                <w:rFonts w:hint="eastAsia" w:ascii="黑体" w:eastAsia="黑体"/>
                <w:sz w:val="24"/>
              </w:rPr>
            </w:pPr>
            <w:r>
              <w:rPr>
                <w:rFonts w:hint="eastAsia" w:ascii="黑体" w:eastAsia="黑体"/>
                <w:sz w:val="24"/>
              </w:rPr>
              <w:t>场景</w:t>
            </w:r>
          </w:p>
        </w:tc>
        <w:tc>
          <w:tcPr>
            <w:tcW w:w="4102" w:type="dxa"/>
            <w:gridSpan w:val="2"/>
            <w:vAlign w:val="center"/>
          </w:tcPr>
          <w:p>
            <w:pPr>
              <w:pStyle w:val="33"/>
              <w:ind w:right="1310"/>
              <w:jc w:val="center"/>
              <w:rPr>
                <w:rFonts w:hint="eastAsia" w:ascii="黑体" w:eastAsia="黑体"/>
                <w:sz w:val="24"/>
              </w:rPr>
            </w:pPr>
            <w:r>
              <w:rPr>
                <w:rFonts w:hint="eastAsia" w:ascii="黑体" w:eastAsia="黑体"/>
                <w:sz w:val="24"/>
                <w:lang w:val="en-US" w:eastAsia="zh-CN"/>
              </w:rPr>
              <w:t xml:space="preserve">        </w:t>
            </w:r>
            <w:r>
              <w:rPr>
                <w:rFonts w:hint="eastAsia" w:ascii="黑体" w:eastAsia="黑体"/>
                <w:sz w:val="24"/>
              </w:rPr>
              <w:t>事项名称</w:t>
            </w:r>
          </w:p>
        </w:tc>
        <w:tc>
          <w:tcPr>
            <w:tcW w:w="1228" w:type="dxa"/>
            <w:vAlign w:val="center"/>
          </w:tcPr>
          <w:p>
            <w:pPr>
              <w:pStyle w:val="33"/>
              <w:ind w:right="90"/>
              <w:jc w:val="center"/>
              <w:rPr>
                <w:rFonts w:hint="eastAsia" w:ascii="黑体" w:eastAsia="黑体"/>
                <w:sz w:val="24"/>
              </w:rPr>
            </w:pPr>
            <w:r>
              <w:rPr>
                <w:rFonts w:hint="eastAsia" w:ascii="黑体" w:eastAsia="黑体"/>
                <w:sz w:val="24"/>
              </w:rPr>
              <w:t>事项类型</w:t>
            </w:r>
          </w:p>
        </w:tc>
        <w:tc>
          <w:tcPr>
            <w:tcW w:w="821" w:type="dxa"/>
            <w:vAlign w:val="center"/>
          </w:tcPr>
          <w:p>
            <w:pPr>
              <w:pStyle w:val="33"/>
              <w:spacing w:before="200" w:line="242" w:lineRule="auto"/>
              <w:ind w:left="161" w:right="149"/>
              <w:jc w:val="both"/>
              <w:rPr>
                <w:rFonts w:hint="eastAsia" w:ascii="黑体" w:eastAsia="黑体"/>
                <w:sz w:val="24"/>
              </w:rPr>
            </w:pPr>
            <w:r>
              <w:rPr>
                <w:rFonts w:hint="eastAsia" w:ascii="黑体" w:eastAsia="黑体"/>
                <w:sz w:val="24"/>
              </w:rPr>
              <w:t>牵头部门</w:t>
            </w:r>
          </w:p>
        </w:tc>
        <w:tc>
          <w:tcPr>
            <w:tcW w:w="1606" w:type="dxa"/>
            <w:vAlign w:val="center"/>
          </w:tcPr>
          <w:p>
            <w:pPr>
              <w:pStyle w:val="33"/>
              <w:jc w:val="center"/>
              <w:rPr>
                <w:rFonts w:hint="eastAsia" w:ascii="黑体" w:eastAsia="黑体"/>
                <w:sz w:val="24"/>
              </w:rPr>
            </w:pPr>
            <w:r>
              <w:rPr>
                <w:rFonts w:hint="eastAsia" w:ascii="黑体" w:eastAsia="黑体"/>
                <w:sz w:val="24"/>
              </w:rPr>
              <w:t>协同部门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Merge w:val="restart"/>
            <w:vAlign w:val="center"/>
          </w:tcPr>
          <w:p>
            <w:pPr>
              <w:pStyle w:val="33"/>
              <w:spacing w:before="107"/>
              <w:jc w:val="center"/>
              <w:rPr>
                <w:w w:val="99"/>
                <w:sz w:val="22"/>
              </w:rPr>
            </w:pPr>
          </w:p>
          <w:p>
            <w:pPr>
              <w:pStyle w:val="33"/>
              <w:spacing w:before="107"/>
              <w:ind w:firstLine="220" w:firstLineChars="100"/>
              <w:jc w:val="both"/>
              <w:rPr>
                <w:rFonts w:hint="eastAsia" w:eastAsia="仿宋_GB2312"/>
                <w:sz w:val="22"/>
                <w:lang w:eastAsia="zh-CN"/>
              </w:rPr>
            </w:pPr>
            <w:r>
              <w:rPr>
                <w:rFonts w:hint="eastAsia"/>
                <w:sz w:val="22"/>
                <w:lang w:val="en-US" w:eastAsia="zh-CN"/>
              </w:rPr>
              <w:t>1</w:t>
            </w:r>
          </w:p>
        </w:tc>
        <w:tc>
          <w:tcPr>
            <w:tcW w:w="511" w:type="dxa"/>
            <w:vMerge w:val="restart"/>
          </w:tcPr>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spacing w:before="6"/>
              <w:jc w:val="both"/>
              <w:rPr>
                <w:rFonts w:ascii="宋体"/>
                <w:sz w:val="20"/>
              </w:rPr>
            </w:pPr>
          </w:p>
          <w:p>
            <w:pPr>
              <w:pStyle w:val="33"/>
              <w:ind w:left="11"/>
              <w:jc w:val="both"/>
              <w:rPr>
                <w:w w:val="99"/>
                <w:sz w:val="22"/>
              </w:rPr>
            </w:pPr>
          </w:p>
          <w:p>
            <w:pPr>
              <w:pStyle w:val="33"/>
              <w:ind w:left="11"/>
              <w:jc w:val="both"/>
              <w:rPr>
                <w:w w:val="99"/>
                <w:sz w:val="22"/>
              </w:rPr>
            </w:pPr>
          </w:p>
          <w:p>
            <w:pPr>
              <w:pStyle w:val="33"/>
              <w:spacing w:before="89"/>
              <w:ind w:left="106" w:right="96"/>
              <w:jc w:val="both"/>
              <w:rPr>
                <w:sz w:val="22"/>
              </w:rPr>
            </w:pPr>
            <w:r>
              <w:rPr>
                <w:sz w:val="22"/>
              </w:rPr>
              <w:t>1</w:t>
            </w:r>
          </w:p>
          <w:p>
            <w:pPr>
              <w:pStyle w:val="33"/>
              <w:spacing w:before="18" w:line="254" w:lineRule="auto"/>
              <w:ind w:left="140" w:right="127"/>
              <w:jc w:val="both"/>
              <w:rPr>
                <w:sz w:val="22"/>
              </w:rPr>
            </w:pPr>
            <w:r>
              <w:rPr>
                <w:sz w:val="22"/>
              </w:rPr>
              <w:t>企业开办</w:t>
            </w:r>
          </w:p>
        </w:tc>
        <w:tc>
          <w:tcPr>
            <w:tcW w:w="750" w:type="dxa"/>
            <w:vMerge w:val="restart"/>
          </w:tcPr>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left="106" w:right="96"/>
              <w:jc w:val="both"/>
              <w:rPr>
                <w:sz w:val="22"/>
              </w:rPr>
            </w:pPr>
          </w:p>
          <w:p>
            <w:pPr>
              <w:pStyle w:val="33"/>
              <w:spacing w:before="89"/>
              <w:ind w:right="96"/>
              <w:jc w:val="both"/>
              <w:rPr>
                <w:sz w:val="22"/>
              </w:rPr>
            </w:pPr>
          </w:p>
          <w:p>
            <w:pPr>
              <w:pStyle w:val="33"/>
              <w:spacing w:before="89"/>
              <w:ind w:left="106" w:right="96"/>
              <w:jc w:val="both"/>
              <w:rPr>
                <w:sz w:val="22"/>
              </w:rPr>
            </w:pPr>
          </w:p>
          <w:p>
            <w:pPr>
              <w:pStyle w:val="33"/>
              <w:spacing w:before="89"/>
              <w:ind w:left="106" w:right="96"/>
              <w:jc w:val="both"/>
              <w:rPr>
                <w:sz w:val="22"/>
              </w:rPr>
            </w:pPr>
            <w:r>
              <w:rPr>
                <w:sz w:val="22"/>
              </w:rPr>
              <w:t>1.1</w:t>
            </w:r>
          </w:p>
          <w:p>
            <w:pPr>
              <w:pStyle w:val="33"/>
              <w:spacing w:line="300" w:lineRule="atLeast"/>
              <w:ind w:left="256" w:right="245"/>
              <w:jc w:val="both"/>
              <w:rPr>
                <w:sz w:val="22"/>
              </w:rPr>
            </w:pPr>
            <w:r>
              <w:rPr>
                <w:sz w:val="22"/>
              </w:rPr>
              <w:t>企业</w:t>
            </w:r>
          </w:p>
          <w:p>
            <w:pPr>
              <w:ind w:firstLine="210" w:firstLineChars="100"/>
              <w:jc w:val="both"/>
            </w:pPr>
            <w:r>
              <w:t>开</w:t>
            </w:r>
          </w:p>
          <w:p>
            <w:pPr>
              <w:ind w:firstLine="210" w:firstLineChars="100"/>
              <w:jc w:val="both"/>
              <w:rPr>
                <w:sz w:val="22"/>
              </w:rPr>
            </w:pPr>
            <w:r>
              <w:t>办</w:t>
            </w:r>
          </w:p>
        </w:tc>
        <w:tc>
          <w:tcPr>
            <w:tcW w:w="618" w:type="dxa"/>
            <w:vMerge w:val="restart"/>
            <w:vAlign w:val="center"/>
          </w:tcPr>
          <w:p>
            <w:pPr>
              <w:pStyle w:val="33"/>
              <w:jc w:val="center"/>
              <w:rPr>
                <w:rFonts w:ascii="宋体"/>
                <w:sz w:val="22"/>
              </w:rPr>
            </w:pPr>
          </w:p>
          <w:p>
            <w:pPr>
              <w:pStyle w:val="33"/>
              <w:spacing w:line="254" w:lineRule="auto"/>
              <w:ind w:right="100"/>
              <w:jc w:val="both"/>
              <w:rPr>
                <w:sz w:val="22"/>
              </w:rPr>
            </w:pPr>
            <w:r>
              <w:rPr>
                <w:rFonts w:hint="eastAsia"/>
                <w:sz w:val="22"/>
                <w:lang w:val="en-US" w:eastAsia="zh-CN"/>
              </w:rPr>
              <w:t>公</w:t>
            </w:r>
            <w:r>
              <w:rPr>
                <w:sz w:val="22"/>
              </w:rPr>
              <w:t>司（企业）设立登记</w:t>
            </w:r>
          </w:p>
        </w:tc>
        <w:tc>
          <w:tcPr>
            <w:tcW w:w="3484" w:type="dxa"/>
            <w:vAlign w:val="center"/>
          </w:tcPr>
          <w:p>
            <w:pPr>
              <w:pStyle w:val="33"/>
              <w:jc w:val="center"/>
              <w:rPr>
                <w:sz w:val="22"/>
              </w:rPr>
            </w:pPr>
            <w:r>
              <w:rPr>
                <w:sz w:val="22"/>
              </w:rPr>
              <w:t>公司设立登记</w:t>
            </w:r>
          </w:p>
        </w:tc>
        <w:tc>
          <w:tcPr>
            <w:tcW w:w="1228" w:type="dxa"/>
            <w:vAlign w:val="center"/>
          </w:tcPr>
          <w:p>
            <w:pPr>
              <w:jc w:val="center"/>
            </w:pPr>
            <w:r>
              <w:t>行政许可</w:t>
            </w:r>
          </w:p>
        </w:tc>
        <w:tc>
          <w:tcPr>
            <w:tcW w:w="821" w:type="dxa"/>
            <w:vMerge w:val="restart"/>
            <w:vAlign w:val="center"/>
          </w:tcPr>
          <w:p>
            <w:pPr>
              <w:pStyle w:val="33"/>
              <w:jc w:val="center"/>
              <w:rPr>
                <w:rFonts w:ascii="宋体"/>
                <w:sz w:val="22"/>
              </w:rPr>
            </w:pPr>
          </w:p>
          <w:p>
            <w:pPr>
              <w:pStyle w:val="33"/>
              <w:spacing w:before="6"/>
              <w:jc w:val="center"/>
              <w:rPr>
                <w:rFonts w:ascii="宋体"/>
                <w:sz w:val="20"/>
              </w:rPr>
            </w:pPr>
          </w:p>
          <w:p>
            <w:pPr>
              <w:pStyle w:val="33"/>
              <w:spacing w:line="254" w:lineRule="auto"/>
              <w:ind w:left="180" w:right="167" w:firstLine="1"/>
              <w:jc w:val="center"/>
              <w:rPr>
                <w:sz w:val="22"/>
              </w:rPr>
            </w:pPr>
            <w:r>
              <w:rPr>
                <w:rFonts w:hint="eastAsia"/>
                <w:sz w:val="22"/>
                <w:lang w:val="en-US" w:eastAsia="zh-CN"/>
              </w:rPr>
              <w:t>县</w:t>
            </w:r>
            <w:r>
              <w:rPr>
                <w:sz w:val="22"/>
              </w:rPr>
              <w:t>行政审批服务局</w:t>
            </w:r>
          </w:p>
        </w:tc>
        <w:tc>
          <w:tcPr>
            <w:tcW w:w="1606"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Merge w:val="continue"/>
            <w:vAlign w:val="center"/>
          </w:tcPr>
          <w:p>
            <w:pPr>
              <w:pStyle w:val="33"/>
              <w:jc w:val="center"/>
              <w:rPr>
                <w:rFonts w:ascii="Times New Roman"/>
                <w:sz w:val="22"/>
              </w:rPr>
            </w:pP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618" w:type="dxa"/>
            <w:vMerge w:val="continue"/>
            <w:tcBorders>
              <w:top w:val="nil"/>
            </w:tcBorders>
            <w:vAlign w:val="center"/>
          </w:tcPr>
          <w:p>
            <w:pPr>
              <w:jc w:val="center"/>
              <w:rPr>
                <w:sz w:val="2"/>
                <w:szCs w:val="2"/>
              </w:rPr>
            </w:pPr>
          </w:p>
        </w:tc>
        <w:tc>
          <w:tcPr>
            <w:tcW w:w="3484" w:type="dxa"/>
            <w:vAlign w:val="center"/>
          </w:tcPr>
          <w:p>
            <w:pPr>
              <w:pStyle w:val="33"/>
              <w:spacing w:line="254" w:lineRule="auto"/>
              <w:ind w:right="118"/>
              <w:jc w:val="center"/>
              <w:rPr>
                <w:sz w:val="22"/>
              </w:rPr>
            </w:pPr>
            <w:r>
              <w:rPr>
                <w:sz w:val="22"/>
              </w:rPr>
              <w:t>非公司企业法人设立登记</w:t>
            </w:r>
          </w:p>
        </w:tc>
        <w:tc>
          <w:tcPr>
            <w:tcW w:w="1228" w:type="dxa"/>
            <w:vAlign w:val="center"/>
          </w:tcPr>
          <w:p>
            <w:pPr>
              <w:jc w:val="cente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Merge w:val="continue"/>
            <w:vAlign w:val="center"/>
          </w:tcPr>
          <w:p>
            <w:pPr>
              <w:jc w:val="center"/>
              <w:rPr>
                <w:sz w:val="2"/>
                <w:szCs w:val="2"/>
              </w:rPr>
            </w:pPr>
          </w:p>
        </w:tc>
        <w:tc>
          <w:tcPr>
            <w:tcW w:w="511" w:type="dxa"/>
            <w:vMerge w:val="continue"/>
          </w:tcPr>
          <w:p>
            <w:pPr>
              <w:jc w:val="both"/>
              <w:rPr>
                <w:sz w:val="2"/>
                <w:szCs w:val="2"/>
              </w:rPr>
            </w:pPr>
          </w:p>
        </w:tc>
        <w:tc>
          <w:tcPr>
            <w:tcW w:w="750" w:type="dxa"/>
            <w:vMerge w:val="continue"/>
          </w:tcPr>
          <w:p>
            <w:pPr>
              <w:jc w:val="both"/>
              <w:rPr>
                <w:sz w:val="2"/>
                <w:szCs w:val="2"/>
              </w:rPr>
            </w:pPr>
          </w:p>
        </w:tc>
        <w:tc>
          <w:tcPr>
            <w:tcW w:w="618" w:type="dxa"/>
            <w:vMerge w:val="continue"/>
            <w:tcBorders>
              <w:top w:val="nil"/>
            </w:tcBorders>
            <w:vAlign w:val="center"/>
          </w:tcPr>
          <w:p>
            <w:pPr>
              <w:jc w:val="center"/>
              <w:rPr>
                <w:sz w:val="2"/>
                <w:szCs w:val="2"/>
              </w:rPr>
            </w:pPr>
          </w:p>
        </w:tc>
        <w:tc>
          <w:tcPr>
            <w:tcW w:w="3484" w:type="dxa"/>
            <w:vAlign w:val="center"/>
          </w:tcPr>
          <w:p>
            <w:pPr>
              <w:pStyle w:val="33"/>
              <w:jc w:val="center"/>
              <w:rPr>
                <w:sz w:val="22"/>
              </w:rPr>
            </w:pPr>
            <w:r>
              <w:rPr>
                <w:sz w:val="22"/>
              </w:rPr>
              <w:t>分公司设立登记</w:t>
            </w:r>
          </w:p>
        </w:tc>
        <w:tc>
          <w:tcPr>
            <w:tcW w:w="1228" w:type="dxa"/>
            <w:vAlign w:val="center"/>
          </w:tcPr>
          <w:p>
            <w:pPr>
              <w:jc w:val="cente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Merge w:val="continue"/>
            <w:vAlign w:val="center"/>
          </w:tcPr>
          <w:p>
            <w:pPr>
              <w:pStyle w:val="33"/>
              <w:jc w:val="center"/>
              <w:rPr>
                <w:rFonts w:ascii="Times New Roman"/>
                <w:sz w:val="22"/>
              </w:rPr>
            </w:pPr>
          </w:p>
        </w:tc>
        <w:tc>
          <w:tcPr>
            <w:tcW w:w="511" w:type="dxa"/>
            <w:vMerge w:val="continue"/>
          </w:tcPr>
          <w:p>
            <w:pPr>
              <w:jc w:val="both"/>
              <w:rPr>
                <w:sz w:val="2"/>
                <w:szCs w:val="2"/>
              </w:rPr>
            </w:pPr>
          </w:p>
        </w:tc>
        <w:tc>
          <w:tcPr>
            <w:tcW w:w="750" w:type="dxa"/>
            <w:vMerge w:val="continue"/>
          </w:tcPr>
          <w:p>
            <w:pPr>
              <w:pStyle w:val="33"/>
              <w:spacing w:line="300" w:lineRule="atLeast"/>
              <w:ind w:left="256" w:right="245"/>
              <w:jc w:val="both"/>
              <w:rPr>
                <w:sz w:val="22"/>
              </w:rPr>
            </w:pPr>
          </w:p>
        </w:tc>
        <w:tc>
          <w:tcPr>
            <w:tcW w:w="618" w:type="dxa"/>
            <w:vMerge w:val="continue"/>
            <w:tcBorders>
              <w:top w:val="nil"/>
            </w:tcBorders>
            <w:vAlign w:val="center"/>
          </w:tcPr>
          <w:p>
            <w:pPr>
              <w:jc w:val="center"/>
              <w:rPr>
                <w:sz w:val="2"/>
                <w:szCs w:val="2"/>
              </w:rPr>
            </w:pPr>
          </w:p>
        </w:tc>
        <w:tc>
          <w:tcPr>
            <w:tcW w:w="3484" w:type="dxa"/>
            <w:vAlign w:val="center"/>
          </w:tcPr>
          <w:p>
            <w:pPr>
              <w:pStyle w:val="33"/>
              <w:spacing w:line="254" w:lineRule="auto"/>
              <w:ind w:right="118"/>
              <w:jc w:val="center"/>
              <w:rPr>
                <w:sz w:val="22"/>
              </w:rPr>
            </w:pPr>
            <w:r>
              <w:rPr>
                <w:sz w:val="22"/>
              </w:rPr>
              <w:t>营业单位、非法人分支机构设立登记</w:t>
            </w:r>
          </w:p>
        </w:tc>
        <w:tc>
          <w:tcPr>
            <w:tcW w:w="1228" w:type="dxa"/>
            <w:vAlign w:val="center"/>
          </w:tcPr>
          <w:p>
            <w:pPr>
              <w:jc w:val="cente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2</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1313"/>
              <w:jc w:val="center"/>
              <w:rPr>
                <w:sz w:val="22"/>
              </w:rPr>
            </w:pPr>
            <w:r>
              <w:rPr>
                <w:rFonts w:hint="eastAsia"/>
                <w:sz w:val="22"/>
                <w:lang w:val="en-US" w:eastAsia="zh-CN"/>
              </w:rPr>
              <w:t xml:space="preserve">            </w:t>
            </w:r>
            <w:r>
              <w:rPr>
                <w:sz w:val="22"/>
              </w:rPr>
              <w:t>公章刻制备案</w:t>
            </w:r>
          </w:p>
        </w:tc>
        <w:tc>
          <w:tcPr>
            <w:tcW w:w="1228" w:type="dxa"/>
            <w:vAlign w:val="center"/>
          </w:tcPr>
          <w:p>
            <w:pPr>
              <w:jc w:val="center"/>
            </w:pPr>
            <w:r>
              <w:t>其他行政</w:t>
            </w:r>
          </w:p>
          <w:p>
            <w:pPr>
              <w:jc w:val="center"/>
            </w:pPr>
            <w:r>
              <w:t>权力</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3</w:t>
            </w:r>
          </w:p>
        </w:tc>
        <w:tc>
          <w:tcPr>
            <w:tcW w:w="511" w:type="dxa"/>
            <w:vMerge w:val="continue"/>
          </w:tcPr>
          <w:p>
            <w:pPr>
              <w:jc w:val="center"/>
              <w:rPr>
                <w:sz w:val="2"/>
                <w:szCs w:val="2"/>
              </w:rPr>
            </w:pPr>
          </w:p>
        </w:tc>
        <w:tc>
          <w:tcPr>
            <w:tcW w:w="750" w:type="dxa"/>
            <w:vMerge w:val="continue"/>
          </w:tcPr>
          <w:p>
            <w:pPr>
              <w:pStyle w:val="33"/>
              <w:jc w:val="center"/>
              <w:rPr>
                <w:rFonts w:ascii="Times New Roman"/>
                <w:sz w:val="22"/>
              </w:rPr>
            </w:pPr>
          </w:p>
        </w:tc>
        <w:tc>
          <w:tcPr>
            <w:tcW w:w="4102" w:type="dxa"/>
            <w:gridSpan w:val="2"/>
            <w:vAlign w:val="center"/>
          </w:tcPr>
          <w:p>
            <w:pPr>
              <w:pStyle w:val="33"/>
              <w:ind w:right="1311"/>
              <w:jc w:val="center"/>
              <w:rPr>
                <w:sz w:val="22"/>
              </w:rPr>
            </w:pPr>
            <w:r>
              <w:rPr>
                <w:rFonts w:hint="eastAsia"/>
                <w:sz w:val="22"/>
                <w:lang w:val="en-US" w:eastAsia="zh-CN"/>
              </w:rPr>
              <w:t xml:space="preserve">            </w:t>
            </w:r>
            <w:r>
              <w:rPr>
                <w:sz w:val="22"/>
              </w:rPr>
              <w:t>涉税办理</w:t>
            </w:r>
          </w:p>
        </w:tc>
        <w:tc>
          <w:tcPr>
            <w:tcW w:w="1228" w:type="dxa"/>
            <w:vAlign w:val="center"/>
          </w:tcPr>
          <w:p>
            <w:pPr>
              <w:jc w:val="center"/>
            </w:pPr>
            <w:r>
              <w:t>其他</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4</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firstLine="1100" w:firstLineChars="500"/>
              <w:jc w:val="both"/>
              <w:rPr>
                <w:sz w:val="22"/>
              </w:rPr>
            </w:pPr>
            <w:r>
              <w:rPr>
                <w:sz w:val="22"/>
              </w:rPr>
              <w:t>企业社会保险登记</w:t>
            </w:r>
          </w:p>
        </w:tc>
        <w:tc>
          <w:tcPr>
            <w:tcW w:w="1228" w:type="dxa"/>
            <w:vAlign w:val="center"/>
          </w:tcPr>
          <w:p>
            <w:pPr>
              <w:jc w:val="center"/>
            </w:pPr>
            <w:r>
              <w:t>公共服务</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人力资源和</w:t>
            </w:r>
          </w:p>
          <w:p>
            <w:pPr>
              <w:jc w:val="cente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5</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spacing w:before="1"/>
              <w:ind w:firstLine="880" w:firstLineChars="400"/>
              <w:jc w:val="both"/>
              <w:rPr>
                <w:sz w:val="22"/>
              </w:rPr>
            </w:pPr>
            <w:r>
              <w:rPr>
                <w:sz w:val="22"/>
              </w:rPr>
              <w:t>医疗保险单位参保登记</w:t>
            </w:r>
          </w:p>
        </w:tc>
        <w:tc>
          <w:tcPr>
            <w:tcW w:w="1228" w:type="dxa"/>
            <w:vAlign w:val="center"/>
          </w:tcPr>
          <w:p>
            <w:pPr>
              <w:jc w:val="center"/>
            </w:pPr>
            <w:r>
              <w:t>公共服务</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6</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322" w:rightChars="0" w:firstLine="660" w:firstLineChars="300"/>
              <w:jc w:val="both"/>
              <w:rPr>
                <w:rFonts w:ascii="仿宋_GB2312" w:hAnsi="仿宋_GB2312" w:eastAsia="仿宋_GB2312" w:cs="仿宋_GB2312"/>
                <w:sz w:val="22"/>
                <w:szCs w:val="22"/>
                <w:lang w:val="en-US" w:eastAsia="zh-CN" w:bidi="ar-SA"/>
              </w:rPr>
            </w:pPr>
            <w:r>
              <w:rPr>
                <w:sz w:val="22"/>
              </w:rPr>
              <w:t>住房公积金单位缴存登记</w:t>
            </w:r>
          </w:p>
        </w:tc>
        <w:tc>
          <w:tcPr>
            <w:tcW w:w="1228" w:type="dxa"/>
            <w:vAlign w:val="center"/>
          </w:tcPr>
          <w:p>
            <w:pPr>
              <w:jc w:val="center"/>
              <w:rPr>
                <w:lang w:val="en-US" w:eastAsia="zh-CN"/>
              </w:rPr>
            </w:pPr>
            <w:r>
              <w:t>公共服务</w:t>
            </w:r>
          </w:p>
        </w:tc>
        <w:tc>
          <w:tcPr>
            <w:tcW w:w="821" w:type="dxa"/>
            <w:vMerge w:val="continue"/>
            <w:vAlign w:val="center"/>
          </w:tcPr>
          <w:p>
            <w:pPr>
              <w:jc w:val="center"/>
              <w:rPr>
                <w:sz w:val="2"/>
                <w:szCs w:val="2"/>
              </w:rPr>
            </w:pPr>
          </w:p>
        </w:tc>
        <w:tc>
          <w:tcPr>
            <w:tcW w:w="1606" w:type="dxa"/>
            <w:vAlign w:val="center"/>
          </w:tcPr>
          <w:p>
            <w:pPr>
              <w:jc w:val="center"/>
              <w:rPr>
                <w:rFonts w:hint="default"/>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7</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323" w:rightChars="0" w:firstLine="1320" w:firstLineChars="600"/>
              <w:jc w:val="both"/>
              <w:rPr>
                <w:rFonts w:ascii="仿宋_GB2312" w:hAnsi="仿宋_GB2312" w:eastAsia="仿宋_GB2312" w:cs="仿宋_GB2312"/>
                <w:sz w:val="22"/>
                <w:szCs w:val="22"/>
                <w:lang w:val="en-US" w:eastAsia="zh-CN" w:bidi="ar-SA"/>
              </w:rPr>
            </w:pPr>
            <w:r>
              <w:rPr>
                <w:sz w:val="22"/>
              </w:rPr>
              <w:t>预约银行开户</w:t>
            </w:r>
          </w:p>
        </w:tc>
        <w:tc>
          <w:tcPr>
            <w:tcW w:w="1228" w:type="dxa"/>
            <w:vAlign w:val="center"/>
          </w:tcPr>
          <w:p>
            <w:pPr>
              <w:jc w:val="center"/>
              <w:rPr>
                <w:lang w:val="en-US" w:eastAsia="zh-CN"/>
              </w:rPr>
            </w:pPr>
            <w:r>
              <w:t>其他</w:t>
            </w:r>
          </w:p>
        </w:tc>
        <w:tc>
          <w:tcPr>
            <w:tcW w:w="821" w:type="dxa"/>
            <w:vMerge w:val="continue"/>
            <w:vAlign w:val="center"/>
          </w:tcPr>
          <w:p>
            <w:pPr>
              <w:jc w:val="center"/>
              <w:rPr>
                <w:sz w:val="2"/>
                <w:szCs w:val="2"/>
              </w:rPr>
            </w:pPr>
          </w:p>
        </w:tc>
        <w:tc>
          <w:tcPr>
            <w:tcW w:w="1606" w:type="dxa"/>
            <w:vAlign w:val="center"/>
          </w:tcPr>
          <w:p>
            <w:pPr>
              <w:jc w:val="center"/>
              <w:rPr>
                <w:rFonts w:hint="eastAsia"/>
                <w:lang w:val="en-US" w:eastAsia="zh-CN"/>
              </w:rPr>
            </w:pPr>
            <w:r>
              <w:t>中国人民银行</w:t>
            </w: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8</w:t>
            </w:r>
          </w:p>
        </w:tc>
        <w:tc>
          <w:tcPr>
            <w:tcW w:w="511" w:type="dxa"/>
            <w:vMerge w:val="restart"/>
            <w:vAlign w:val="center"/>
          </w:tcPr>
          <w:p>
            <w:pPr>
              <w:pStyle w:val="33"/>
              <w:spacing w:before="11"/>
              <w:jc w:val="both"/>
              <w:rPr>
                <w:rFonts w:ascii="宋体"/>
                <w:sz w:val="21"/>
              </w:rPr>
            </w:pPr>
          </w:p>
          <w:p>
            <w:pPr>
              <w:pStyle w:val="33"/>
              <w:spacing w:before="66" w:line="266" w:lineRule="exact"/>
              <w:ind w:left="200"/>
              <w:jc w:val="both"/>
              <w:rPr>
                <w:sz w:val="22"/>
              </w:rPr>
            </w:pPr>
            <w:r>
              <w:rPr>
                <w:sz w:val="22"/>
              </w:rPr>
              <w:t>2</w:t>
            </w:r>
          </w:p>
          <w:p>
            <w:pPr>
              <w:jc w:val="center"/>
              <w:rPr>
                <w:sz w:val="22"/>
              </w:rPr>
            </w:pPr>
            <w:r>
              <w:rPr>
                <w:sz w:val="22"/>
              </w:rPr>
              <w:t>企</w:t>
            </w:r>
          </w:p>
          <w:p>
            <w:pPr>
              <w:jc w:val="center"/>
              <w:rPr>
                <w:sz w:val="22"/>
              </w:rPr>
            </w:pPr>
            <w:r>
              <w:rPr>
                <w:sz w:val="22"/>
              </w:rPr>
              <w:t>业</w:t>
            </w:r>
          </w:p>
          <w:p>
            <w:pPr>
              <w:jc w:val="center"/>
              <w:rPr>
                <w:sz w:val="22"/>
              </w:rPr>
            </w:pPr>
            <w:r>
              <w:rPr>
                <w:sz w:val="22"/>
              </w:rPr>
              <w:t>准</w:t>
            </w:r>
          </w:p>
          <w:p>
            <w:pPr>
              <w:jc w:val="center"/>
              <w:rPr>
                <w:sz w:val="2"/>
                <w:szCs w:val="2"/>
              </w:rPr>
            </w:pPr>
            <w:r>
              <w:rPr>
                <w:sz w:val="22"/>
              </w:rPr>
              <w:t>营</w:t>
            </w:r>
          </w:p>
        </w:tc>
        <w:tc>
          <w:tcPr>
            <w:tcW w:w="750" w:type="dxa"/>
            <w:vMerge w:val="restart"/>
            <w:vAlign w:val="center"/>
          </w:tcPr>
          <w:p>
            <w:pPr>
              <w:pStyle w:val="33"/>
              <w:spacing w:before="66" w:line="266" w:lineRule="exact"/>
              <w:jc w:val="both"/>
              <w:rPr>
                <w:sz w:val="22"/>
              </w:rPr>
            </w:pPr>
          </w:p>
          <w:p>
            <w:pPr>
              <w:pStyle w:val="33"/>
              <w:spacing w:before="66" w:line="266" w:lineRule="exact"/>
              <w:ind w:left="200"/>
              <w:jc w:val="center"/>
              <w:rPr>
                <w:sz w:val="22"/>
              </w:rPr>
            </w:pPr>
            <w:r>
              <w:rPr>
                <w:sz w:val="22"/>
              </w:rPr>
              <w:t>2.1</w:t>
            </w:r>
          </w:p>
          <w:p>
            <w:pPr>
              <w:pStyle w:val="33"/>
              <w:spacing w:before="4"/>
              <w:ind w:left="146"/>
              <w:jc w:val="center"/>
              <w:rPr>
                <w:sz w:val="22"/>
              </w:rPr>
            </w:pPr>
            <w:r>
              <w:rPr>
                <w:sz w:val="22"/>
              </w:rPr>
              <w:t>生产</w:t>
            </w:r>
          </w:p>
          <w:p>
            <w:pPr>
              <w:pStyle w:val="33"/>
              <w:spacing w:before="18" w:line="269" w:lineRule="exact"/>
              <w:ind w:left="146"/>
              <w:jc w:val="center"/>
              <w:rPr>
                <w:sz w:val="22"/>
              </w:rPr>
            </w:pPr>
            <w:r>
              <w:rPr>
                <w:sz w:val="22"/>
              </w:rPr>
              <w:t>许可</w:t>
            </w:r>
          </w:p>
          <w:p>
            <w:pPr>
              <w:pStyle w:val="33"/>
              <w:ind w:firstLine="220" w:firstLineChars="100"/>
              <w:jc w:val="center"/>
              <w:rPr>
                <w:rFonts w:ascii="Times New Roman"/>
                <w:sz w:val="22"/>
              </w:rPr>
            </w:pPr>
            <w:r>
              <w:rPr>
                <w:sz w:val="22"/>
              </w:rPr>
              <w:t>办理</w:t>
            </w:r>
          </w:p>
        </w:tc>
        <w:tc>
          <w:tcPr>
            <w:tcW w:w="4102"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建筑施工企业安全生产许可</w:t>
            </w:r>
          </w:p>
        </w:tc>
        <w:tc>
          <w:tcPr>
            <w:tcW w:w="1228" w:type="dxa"/>
            <w:vAlign w:val="center"/>
          </w:tcPr>
          <w:p>
            <w:pPr>
              <w:jc w:val="center"/>
              <w:rPr>
                <w:lang w:val="en-US" w:eastAsia="zh-CN"/>
              </w:rPr>
            </w:pPr>
            <w:r>
              <w:t>行政许可</w:t>
            </w:r>
          </w:p>
        </w:tc>
        <w:tc>
          <w:tcPr>
            <w:tcW w:w="821" w:type="dxa"/>
            <w:vMerge w:val="restart"/>
            <w:vAlign w:val="center"/>
          </w:tcPr>
          <w:p>
            <w:pPr>
              <w:pStyle w:val="33"/>
              <w:jc w:val="center"/>
              <w:rPr>
                <w:rFonts w:ascii="宋体"/>
                <w:sz w:val="22"/>
              </w:rPr>
            </w:pPr>
          </w:p>
          <w:p>
            <w:pPr>
              <w:pStyle w:val="33"/>
              <w:jc w:val="center"/>
              <w:rPr>
                <w:rFonts w:ascii="宋体"/>
                <w:sz w:val="22"/>
              </w:rPr>
            </w:pPr>
          </w:p>
          <w:p>
            <w:pPr>
              <w:pStyle w:val="33"/>
              <w:spacing w:line="254" w:lineRule="auto"/>
              <w:ind w:left="182" w:leftChars="0" w:right="164"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行政审批服务局</w:t>
            </w:r>
          </w:p>
          <w:p>
            <w:pPr>
              <w:jc w:val="center"/>
              <w:rPr>
                <w:sz w:val="2"/>
                <w:szCs w:val="2"/>
              </w:rPr>
            </w:pPr>
          </w:p>
        </w:tc>
        <w:tc>
          <w:tcPr>
            <w:tcW w:w="1606" w:type="dxa"/>
            <w:vAlign w:val="center"/>
          </w:tcPr>
          <w:p>
            <w:pPr>
              <w:jc w:val="center"/>
            </w:pPr>
            <w:r>
              <w:rPr>
                <w:rFonts w:hint="eastAsia"/>
                <w:lang w:val="en-US" w:eastAsia="zh-CN"/>
              </w:rPr>
              <w:t>县</w:t>
            </w:r>
            <w:r>
              <w:t>住房和城乡</w:t>
            </w:r>
          </w:p>
          <w:p>
            <w:pPr>
              <w:jc w:val="center"/>
              <w:rPr>
                <w:lang w:val="en-US" w:eastAsia="zh-CN"/>
              </w:rPr>
            </w:pPr>
            <w: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78" w:type="dxa"/>
            <w:vAlign w:val="center"/>
          </w:tcPr>
          <w:p>
            <w:pPr>
              <w:pStyle w:val="33"/>
              <w:spacing w:before="107"/>
              <w:ind w:firstLine="220" w:firstLineChars="100"/>
              <w:jc w:val="both"/>
              <w:rPr>
                <w:rFonts w:hint="eastAsia"/>
                <w:sz w:val="22"/>
                <w:lang w:val="en-US" w:eastAsia="zh-CN"/>
              </w:rPr>
            </w:pPr>
            <w:r>
              <w:rPr>
                <w:rFonts w:hint="eastAsia"/>
                <w:sz w:val="22"/>
                <w:lang w:val="en-US" w:eastAsia="zh-CN"/>
              </w:rPr>
              <w:t>9</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323" w:rightChars="0" w:firstLine="1320" w:firstLineChars="600"/>
              <w:jc w:val="both"/>
              <w:rPr>
                <w:rFonts w:ascii="仿宋_GB2312" w:hAnsi="仿宋_GB2312" w:eastAsia="仿宋_GB2312" w:cs="仿宋_GB2312"/>
                <w:sz w:val="22"/>
                <w:szCs w:val="22"/>
                <w:lang w:val="en-US" w:eastAsia="zh-CN" w:bidi="ar-SA"/>
              </w:rPr>
            </w:pPr>
            <w:r>
              <w:rPr>
                <w:sz w:val="22"/>
              </w:rPr>
              <w:t>食品生产许可</w:t>
            </w:r>
          </w:p>
        </w:tc>
        <w:tc>
          <w:tcPr>
            <w:tcW w:w="1228" w:type="dxa"/>
            <w:vAlign w:val="center"/>
          </w:tcPr>
          <w:p>
            <w:pPr>
              <w:jc w:val="center"/>
              <w:rPr>
                <w:lang w:val="en-US" w:eastAsia="zh-CN"/>
              </w:rP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rPr>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78" w:type="dxa"/>
            <w:vAlign w:val="center"/>
          </w:tcPr>
          <w:p>
            <w:pPr>
              <w:pStyle w:val="33"/>
              <w:spacing w:before="107"/>
              <w:ind w:firstLine="220" w:firstLineChars="100"/>
              <w:jc w:val="both"/>
              <w:rPr>
                <w:rFonts w:hint="default"/>
                <w:sz w:val="22"/>
                <w:lang w:val="en-US" w:eastAsia="zh-CN"/>
              </w:rPr>
            </w:pPr>
            <w:r>
              <w:rPr>
                <w:rFonts w:hint="eastAsia"/>
                <w:sz w:val="22"/>
                <w:lang w:val="en-US" w:eastAsia="zh-CN"/>
              </w:rPr>
              <w:t>10</w:t>
            </w:r>
          </w:p>
          <w:p>
            <w:pPr>
              <w:pStyle w:val="33"/>
              <w:spacing w:before="107"/>
              <w:ind w:firstLine="220" w:firstLineChars="100"/>
              <w:jc w:val="both"/>
              <w:rPr>
                <w:rFonts w:hint="eastAsia"/>
                <w:sz w:val="22"/>
                <w:lang w:val="en-US" w:eastAsia="zh-CN"/>
              </w:rPr>
            </w:pP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0" w:rightChars="0" w:firstLine="1100" w:firstLineChars="500"/>
              <w:jc w:val="both"/>
              <w:rPr>
                <w:rFonts w:ascii="仿宋_GB2312" w:hAnsi="仿宋_GB2312" w:eastAsia="仿宋_GB2312" w:cs="仿宋_GB2312"/>
                <w:sz w:val="22"/>
                <w:szCs w:val="22"/>
                <w:lang w:val="en-US" w:eastAsia="zh-CN" w:bidi="ar-SA"/>
              </w:rPr>
            </w:pPr>
            <w:r>
              <w:rPr>
                <w:sz w:val="22"/>
              </w:rPr>
              <w:t>工业产品生产许可</w:t>
            </w:r>
          </w:p>
        </w:tc>
        <w:tc>
          <w:tcPr>
            <w:tcW w:w="1228" w:type="dxa"/>
            <w:vAlign w:val="center"/>
          </w:tcPr>
          <w:p>
            <w:pPr>
              <w:jc w:val="center"/>
              <w:rPr>
                <w:lang w:val="en-US" w:eastAsia="zh-CN"/>
              </w:rP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rPr>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exact"/>
        </w:trPr>
        <w:tc>
          <w:tcPr>
            <w:tcW w:w="578" w:type="dxa"/>
            <w:vAlign w:val="center"/>
          </w:tcPr>
          <w:p>
            <w:pPr>
              <w:pStyle w:val="33"/>
              <w:spacing w:before="107"/>
              <w:ind w:firstLine="220" w:firstLineChars="100"/>
              <w:jc w:val="both"/>
              <w:rPr>
                <w:rFonts w:hint="default"/>
                <w:sz w:val="22"/>
                <w:lang w:val="en-US" w:eastAsia="zh-CN"/>
              </w:rPr>
            </w:pPr>
            <w:r>
              <w:rPr>
                <w:rFonts w:hint="eastAsia"/>
                <w:sz w:val="22"/>
                <w:lang w:val="en-US" w:eastAsia="zh-CN"/>
              </w:rPr>
              <w:t>11</w:t>
            </w:r>
          </w:p>
        </w:tc>
        <w:tc>
          <w:tcPr>
            <w:tcW w:w="511" w:type="dxa"/>
            <w:vMerge w:val="continue"/>
          </w:tcPr>
          <w:p>
            <w:pPr>
              <w:jc w:val="both"/>
              <w:rPr>
                <w:sz w:val="2"/>
                <w:szCs w:val="2"/>
              </w:rPr>
            </w:pPr>
          </w:p>
        </w:tc>
        <w:tc>
          <w:tcPr>
            <w:tcW w:w="750" w:type="dxa"/>
            <w:vMerge w:val="continue"/>
          </w:tcPr>
          <w:p>
            <w:pPr>
              <w:pStyle w:val="33"/>
              <w:jc w:val="both"/>
              <w:rPr>
                <w:rFonts w:ascii="Times New Roman"/>
                <w:sz w:val="22"/>
              </w:rPr>
            </w:pPr>
          </w:p>
        </w:tc>
        <w:tc>
          <w:tcPr>
            <w:tcW w:w="4102"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排污许可</w:t>
            </w:r>
          </w:p>
        </w:tc>
        <w:tc>
          <w:tcPr>
            <w:tcW w:w="1228" w:type="dxa"/>
            <w:vAlign w:val="center"/>
          </w:tcPr>
          <w:p>
            <w:pPr>
              <w:jc w:val="center"/>
              <w:rPr>
                <w:lang w:val="en-US" w:eastAsia="zh-CN"/>
              </w:rPr>
            </w:pPr>
            <w:r>
              <w:t>行政许可</w:t>
            </w:r>
          </w:p>
        </w:tc>
        <w:tc>
          <w:tcPr>
            <w:tcW w:w="821" w:type="dxa"/>
            <w:vMerge w:val="continue"/>
            <w:vAlign w:val="center"/>
          </w:tcPr>
          <w:p>
            <w:pPr>
              <w:jc w:val="center"/>
              <w:rPr>
                <w:sz w:val="2"/>
                <w:szCs w:val="2"/>
              </w:rPr>
            </w:pPr>
          </w:p>
        </w:tc>
        <w:tc>
          <w:tcPr>
            <w:tcW w:w="1606" w:type="dxa"/>
            <w:vAlign w:val="center"/>
          </w:tcPr>
          <w:p>
            <w:pPr>
              <w:jc w:val="center"/>
            </w:pPr>
            <w:r>
              <w:rPr>
                <w:rFonts w:hint="eastAsia"/>
                <w:lang w:val="en-US" w:eastAsia="zh-CN"/>
              </w:rPr>
              <w:t>县</w:t>
            </w:r>
            <w:r>
              <w:t>行政审批</w:t>
            </w:r>
          </w:p>
          <w:p>
            <w:pPr>
              <w:jc w:val="center"/>
              <w:rPr>
                <w:lang w:val="en-US" w:eastAsia="zh-CN"/>
              </w:rPr>
            </w:pPr>
            <w:r>
              <w:t>服务局</w:t>
            </w:r>
          </w:p>
        </w:tc>
      </w:tr>
    </w:tbl>
    <w:p>
      <w:pPr>
        <w:spacing w:after="0" w:line="254" w:lineRule="auto"/>
        <w:jc w:val="both"/>
        <w:rPr>
          <w:sz w:val="22"/>
        </w:rPr>
        <w:sectPr>
          <w:pgSz w:w="11910" w:h="16840"/>
          <w:pgMar w:top="1600" w:right="760" w:bottom="1240" w:left="1460" w:header="0" w:footer="1200" w:gutter="0"/>
          <w:pgNumType w:fmt="decimal"/>
          <w:cols w:space="720" w:num="1"/>
        </w:sectPr>
      </w:pPr>
    </w:p>
    <w:tbl>
      <w:tblPr>
        <w:tblStyle w:val="10"/>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500"/>
        <w:gridCol w:w="733"/>
        <w:gridCol w:w="2002"/>
        <w:gridCol w:w="2003"/>
        <w:gridCol w:w="1199"/>
        <w:gridCol w:w="802"/>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exact"/>
        </w:trPr>
        <w:tc>
          <w:tcPr>
            <w:tcW w:w="566" w:type="dxa"/>
            <w:tcBorders>
              <w:top w:val="single" w:color="auto" w:sz="4" w:space="0"/>
              <w:left w:val="single" w:color="auto" w:sz="4" w:space="0"/>
              <w:bottom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12</w:t>
            </w:r>
          </w:p>
        </w:tc>
        <w:tc>
          <w:tcPr>
            <w:tcW w:w="500" w:type="dxa"/>
            <w:vMerge w:val="restart"/>
            <w:tcBorders>
              <w:top w:val="single" w:color="auto" w:sz="4" w:space="0"/>
            </w:tcBorders>
            <w:vAlign w:val="center"/>
          </w:tcPr>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spacing w:line="300" w:lineRule="atLeast"/>
              <w:ind w:left="145" w:right="132" w:firstLine="1"/>
              <w:jc w:val="center"/>
              <w:rPr>
                <w:sz w:val="22"/>
              </w:rPr>
            </w:pPr>
            <w:r>
              <w:rPr>
                <w:sz w:val="22"/>
              </w:rPr>
              <w:t>2</w:t>
            </w:r>
          </w:p>
          <w:p>
            <w:pPr>
              <w:jc w:val="center"/>
              <w:rPr>
                <w:sz w:val="22"/>
              </w:rPr>
            </w:pPr>
            <w:r>
              <w:rPr>
                <w:sz w:val="22"/>
              </w:rPr>
              <w:t>企</w:t>
            </w:r>
          </w:p>
          <w:p>
            <w:pPr>
              <w:jc w:val="center"/>
              <w:rPr>
                <w:sz w:val="22"/>
              </w:rPr>
            </w:pPr>
            <w:r>
              <w:rPr>
                <w:sz w:val="22"/>
              </w:rPr>
              <w:t>业</w:t>
            </w:r>
          </w:p>
          <w:p>
            <w:pPr>
              <w:jc w:val="center"/>
              <w:rPr>
                <w:sz w:val="22"/>
              </w:rPr>
            </w:pPr>
            <w:r>
              <w:rPr>
                <w:sz w:val="22"/>
              </w:rPr>
              <w:t>准</w:t>
            </w:r>
          </w:p>
          <w:p>
            <w:pPr>
              <w:jc w:val="center"/>
              <w:rPr>
                <w:sz w:val="2"/>
                <w:szCs w:val="2"/>
              </w:rPr>
            </w:pPr>
            <w:r>
              <w:rPr>
                <w:sz w:val="22"/>
              </w:rPr>
              <w:t>营</w:t>
            </w:r>
          </w:p>
        </w:tc>
        <w:tc>
          <w:tcPr>
            <w:tcW w:w="733" w:type="dxa"/>
            <w:vMerge w:val="restart"/>
            <w:tcBorders>
              <w:top w:val="single" w:color="auto" w:sz="4" w:space="0"/>
            </w:tcBorders>
            <w:vAlign w:val="center"/>
          </w:tcPr>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center"/>
              <w:rPr>
                <w:sz w:val="22"/>
              </w:rPr>
            </w:pPr>
          </w:p>
          <w:p>
            <w:pPr>
              <w:pStyle w:val="33"/>
              <w:spacing w:line="250" w:lineRule="exact"/>
              <w:ind w:left="200"/>
              <w:jc w:val="left"/>
              <w:rPr>
                <w:sz w:val="22"/>
              </w:rPr>
            </w:pPr>
            <w:r>
              <w:rPr>
                <w:sz w:val="22"/>
              </w:rPr>
              <w:t>2.2</w:t>
            </w:r>
          </w:p>
          <w:p>
            <w:pPr>
              <w:pStyle w:val="33"/>
              <w:spacing w:before="4"/>
              <w:ind w:left="146"/>
              <w:jc w:val="center"/>
              <w:rPr>
                <w:sz w:val="22"/>
              </w:rPr>
            </w:pPr>
            <w:r>
              <w:rPr>
                <w:sz w:val="22"/>
              </w:rPr>
              <w:t>经营</w:t>
            </w:r>
          </w:p>
          <w:p>
            <w:pPr>
              <w:pStyle w:val="33"/>
              <w:spacing w:line="300" w:lineRule="atLeast"/>
              <w:ind w:left="145" w:right="132" w:firstLine="1"/>
              <w:jc w:val="center"/>
              <w:rPr>
                <w:sz w:val="22"/>
              </w:rPr>
            </w:pPr>
            <w:r>
              <w:rPr>
                <w:spacing w:val="-8"/>
                <w:sz w:val="22"/>
              </w:rPr>
              <w:t>许可办理</w:t>
            </w:r>
          </w:p>
        </w:tc>
        <w:tc>
          <w:tcPr>
            <w:tcW w:w="4005" w:type="dxa"/>
            <w:gridSpan w:val="2"/>
            <w:tcBorders>
              <w:top w:val="single" w:color="auto" w:sz="4" w:space="0"/>
              <w:bottom w:val="single" w:color="auto" w:sz="4" w:space="0"/>
              <w:right w:val="single" w:color="auto" w:sz="4" w:space="0"/>
            </w:tcBorders>
            <w:vAlign w:val="center"/>
          </w:tcPr>
          <w:p>
            <w:pPr>
              <w:pStyle w:val="33"/>
              <w:ind w:right="323"/>
              <w:jc w:val="center"/>
              <w:rPr>
                <w:sz w:val="22"/>
              </w:rPr>
            </w:pPr>
            <w:r>
              <w:rPr>
                <w:sz w:val="22"/>
              </w:rPr>
              <w:t>公共场所卫生许可</w:t>
            </w:r>
          </w:p>
        </w:tc>
        <w:tc>
          <w:tcPr>
            <w:tcW w:w="1199" w:type="dxa"/>
            <w:tcBorders>
              <w:left w:val="single" w:color="auto" w:sz="4" w:space="0"/>
            </w:tcBorders>
            <w:vAlign w:val="center"/>
          </w:tcPr>
          <w:p>
            <w:pPr>
              <w:jc w:val="center"/>
            </w:pPr>
            <w:r>
              <w:t>行政许可</w:t>
            </w:r>
          </w:p>
        </w:tc>
        <w:tc>
          <w:tcPr>
            <w:tcW w:w="802"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spacing w:before="6"/>
              <w:jc w:val="center"/>
              <w:rPr>
                <w:rFonts w:ascii="宋体"/>
                <w:sz w:val="20"/>
              </w:rPr>
            </w:pPr>
          </w:p>
          <w:p>
            <w:pPr>
              <w:pStyle w:val="33"/>
              <w:jc w:val="center"/>
              <w:rPr>
                <w:sz w:val="22"/>
              </w:rPr>
            </w:pPr>
            <w:r>
              <w:rPr>
                <w:rFonts w:hint="eastAsia"/>
                <w:sz w:val="22"/>
                <w:lang w:val="en-US" w:eastAsia="zh-CN"/>
              </w:rPr>
              <w:t>县</w:t>
            </w:r>
            <w:r>
              <w:rPr>
                <w:sz w:val="22"/>
              </w:rPr>
              <w:t>行</w:t>
            </w:r>
          </w:p>
          <w:p>
            <w:pPr>
              <w:pStyle w:val="33"/>
              <w:jc w:val="center"/>
              <w:rPr>
                <w:sz w:val="22"/>
              </w:rPr>
            </w:pPr>
            <w:r>
              <w:rPr>
                <w:sz w:val="22"/>
              </w:rPr>
              <w:t>政审</w:t>
            </w:r>
          </w:p>
          <w:p>
            <w:pPr>
              <w:pStyle w:val="33"/>
              <w:jc w:val="center"/>
              <w:rPr>
                <w:sz w:val="22"/>
              </w:rPr>
            </w:pPr>
            <w:r>
              <w:rPr>
                <w:sz w:val="22"/>
              </w:rPr>
              <w:t>批服</w:t>
            </w:r>
          </w:p>
          <w:p>
            <w:pPr>
              <w:pStyle w:val="33"/>
              <w:jc w:val="center"/>
              <w:rPr>
                <w:rFonts w:ascii="宋体"/>
                <w:sz w:val="22"/>
              </w:rPr>
            </w:pPr>
            <w:r>
              <w:rPr>
                <w:sz w:val="22"/>
              </w:rPr>
              <w:t>务局</w:t>
            </w: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ind w:left="0" w:leftChars="0" w:right="0" w:rightChars="0"/>
              <w:jc w:val="both"/>
              <w:rPr>
                <w:rFonts w:ascii="仿宋_GB2312" w:hAnsi="仿宋_GB2312" w:eastAsia="仿宋_GB2312" w:cs="仿宋_GB2312"/>
                <w:sz w:val="2"/>
                <w:szCs w:val="2"/>
                <w:lang w:val="en-US" w:eastAsia="zh-CN" w:bidi="ar-SA"/>
              </w:rPr>
            </w:pPr>
          </w:p>
          <w:p>
            <w:pPr>
              <w:ind w:left="0" w:leftChars="0" w:right="0" w:rightChars="0"/>
              <w:jc w:val="both"/>
              <w:rPr>
                <w:rFonts w:ascii="仿宋_GB2312" w:hAnsi="仿宋_GB2312" w:eastAsia="仿宋_GB2312" w:cs="仿宋_GB2312"/>
                <w:sz w:val="2"/>
                <w:szCs w:val="2"/>
                <w:lang w:val="en-US" w:eastAsia="zh-CN" w:bidi="ar-SA"/>
              </w:rPr>
            </w:pPr>
          </w:p>
          <w:p>
            <w:pPr>
              <w:pStyle w:val="33"/>
              <w:spacing w:line="254" w:lineRule="auto"/>
              <w:ind w:right="164"/>
              <w:jc w:val="both"/>
              <w:rPr>
                <w:sz w:val="22"/>
              </w:rPr>
            </w:pPr>
          </w:p>
        </w:tc>
        <w:tc>
          <w:tcPr>
            <w:tcW w:w="1752"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566" w:type="dxa"/>
            <w:tcBorders>
              <w:top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13</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tcBorders>
              <w:top w:val="single" w:color="auto" w:sz="4" w:space="0"/>
            </w:tcBorders>
            <w:vAlign w:val="center"/>
          </w:tcPr>
          <w:p>
            <w:pPr>
              <w:pStyle w:val="33"/>
              <w:spacing w:line="254" w:lineRule="auto"/>
              <w:ind w:right="118"/>
              <w:jc w:val="center"/>
              <w:rPr>
                <w:sz w:val="22"/>
              </w:rPr>
            </w:pPr>
            <w:r>
              <w:rPr>
                <w:sz w:val="22"/>
              </w:rPr>
              <w:t>公众聚集场所投入使用、营业前消防安全检查</w:t>
            </w:r>
          </w:p>
        </w:tc>
        <w:tc>
          <w:tcPr>
            <w:tcW w:w="1199" w:type="dxa"/>
            <w:vAlign w:val="center"/>
          </w:tcPr>
          <w:p>
            <w:pPr>
              <w:jc w:val="cente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消防救援</w:t>
            </w:r>
            <w:r>
              <w:rPr>
                <w:rFonts w:hint="eastAsia"/>
                <w:lang w:val="en-US" w:eastAsia="zh-CN"/>
              </w:rPr>
              <w:t>大</w:t>
            </w:r>
            <w:r>
              <w:t>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vAlign w:val="top"/>
          </w:tcPr>
          <w:p>
            <w:pPr>
              <w:pStyle w:val="33"/>
              <w:spacing w:before="154"/>
              <w:ind w:left="152" w:right="143"/>
              <w:jc w:val="both"/>
              <w:rPr>
                <w:rFonts w:hint="eastAsia"/>
                <w:sz w:val="22"/>
                <w:lang w:val="en-US" w:eastAsia="zh-CN"/>
              </w:rPr>
            </w:pPr>
            <w:r>
              <w:rPr>
                <w:rFonts w:hint="eastAsia"/>
                <w:sz w:val="22"/>
                <w:lang w:val="en-US" w:eastAsia="zh-CN"/>
              </w:rPr>
              <w:t>14</w:t>
            </w:r>
          </w:p>
        </w:tc>
        <w:tc>
          <w:tcPr>
            <w:tcW w:w="500" w:type="dxa"/>
            <w:vMerge w:val="continue"/>
            <w:vAlign w:val="top"/>
          </w:tcPr>
          <w:p>
            <w:pPr>
              <w:jc w:val="both"/>
              <w:rPr>
                <w:sz w:val="2"/>
                <w:szCs w:val="2"/>
              </w:rPr>
            </w:pPr>
          </w:p>
        </w:tc>
        <w:tc>
          <w:tcPr>
            <w:tcW w:w="733" w:type="dxa"/>
            <w:vMerge w:val="continue"/>
            <w:vAlign w:val="top"/>
          </w:tcPr>
          <w:p>
            <w:pPr>
              <w:jc w:val="both"/>
              <w:rPr>
                <w:sz w:val="2"/>
                <w:szCs w:val="2"/>
              </w:rPr>
            </w:pPr>
          </w:p>
        </w:tc>
        <w:tc>
          <w:tcPr>
            <w:tcW w:w="4005" w:type="dxa"/>
            <w:gridSpan w:val="2"/>
            <w:vAlign w:val="center"/>
          </w:tcPr>
          <w:p>
            <w:pPr>
              <w:pStyle w:val="33"/>
              <w:ind w:right="323"/>
              <w:jc w:val="center"/>
              <w:rPr>
                <w:sz w:val="22"/>
              </w:rPr>
            </w:pPr>
            <w:r>
              <w:rPr>
                <w:sz w:val="22"/>
              </w:rPr>
              <w:t>食品经营许可</w:t>
            </w:r>
          </w:p>
        </w:tc>
        <w:tc>
          <w:tcPr>
            <w:tcW w:w="1199" w:type="dxa"/>
            <w:vAlign w:val="center"/>
          </w:tcPr>
          <w:p>
            <w:pPr>
              <w:jc w:val="cente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15</w:t>
            </w:r>
          </w:p>
        </w:tc>
        <w:tc>
          <w:tcPr>
            <w:tcW w:w="500" w:type="dxa"/>
            <w:vMerge w:val="continue"/>
            <w:vAlign w:val="top"/>
          </w:tcPr>
          <w:p>
            <w:pPr>
              <w:jc w:val="both"/>
              <w:rPr>
                <w:sz w:val="2"/>
                <w:szCs w:val="2"/>
              </w:rPr>
            </w:pPr>
          </w:p>
        </w:tc>
        <w:tc>
          <w:tcPr>
            <w:tcW w:w="733" w:type="dxa"/>
            <w:vMerge w:val="continue"/>
            <w:vAlign w:val="top"/>
          </w:tcPr>
          <w:p>
            <w:pPr>
              <w:jc w:val="both"/>
              <w:rPr>
                <w:sz w:val="2"/>
                <w:szCs w:val="2"/>
              </w:rPr>
            </w:pPr>
          </w:p>
        </w:tc>
        <w:tc>
          <w:tcPr>
            <w:tcW w:w="4005" w:type="dxa"/>
            <w:gridSpan w:val="2"/>
            <w:vAlign w:val="center"/>
          </w:tcPr>
          <w:p>
            <w:pPr>
              <w:pStyle w:val="33"/>
              <w:jc w:val="center"/>
              <w:rPr>
                <w:sz w:val="22"/>
              </w:rPr>
            </w:pPr>
            <w:r>
              <w:rPr>
                <w:sz w:val="22"/>
              </w:rPr>
              <w:t>烟草专卖零售许可</w:t>
            </w:r>
          </w:p>
        </w:tc>
        <w:tc>
          <w:tcPr>
            <w:tcW w:w="1199" w:type="dxa"/>
            <w:vAlign w:val="center"/>
          </w:tcPr>
          <w:p>
            <w:pPr>
              <w:jc w:val="center"/>
            </w:pPr>
            <w:r>
              <w:t>行政许可</w:t>
            </w:r>
          </w:p>
        </w:tc>
        <w:tc>
          <w:tcPr>
            <w:tcW w:w="802" w:type="dxa"/>
            <w:vMerge w:val="continue"/>
            <w:vAlign w:val="center"/>
          </w:tcPr>
          <w:p>
            <w:pPr>
              <w:jc w:val="center"/>
              <w:rPr>
                <w:sz w:val="2"/>
                <w:szCs w:val="2"/>
              </w:rPr>
            </w:pPr>
          </w:p>
        </w:tc>
        <w:tc>
          <w:tcPr>
            <w:tcW w:w="1752" w:type="dxa"/>
            <w:vAlign w:val="center"/>
          </w:tcPr>
          <w:p>
            <w:pPr>
              <w:jc w:val="center"/>
              <w:rPr>
                <w:rFonts w:hint="eastAsia"/>
                <w:lang w:eastAsia="zh-CN"/>
              </w:rPr>
            </w:pPr>
            <w:r>
              <w:rPr>
                <w:rFonts w:hint="eastAsia"/>
                <w:lang w:val="en-US" w:eastAsia="zh-CN"/>
              </w:rPr>
              <w:t>县</w:t>
            </w:r>
            <w:r>
              <w:t>烟草专卖</w:t>
            </w:r>
            <w:r>
              <w:rPr>
                <w:rFonts w:hint="eastAsia"/>
                <w:lang w:val="en-US" w:eastAsia="zh-CN"/>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16</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322"/>
              <w:jc w:val="center"/>
              <w:rPr>
                <w:sz w:val="22"/>
              </w:rPr>
            </w:pPr>
            <w:r>
              <w:rPr>
                <w:sz w:val="22"/>
              </w:rPr>
              <w:t>药品经营许可（零售）</w:t>
            </w:r>
          </w:p>
        </w:tc>
        <w:tc>
          <w:tcPr>
            <w:tcW w:w="1199" w:type="dxa"/>
            <w:vAlign w:val="center"/>
          </w:tcPr>
          <w:p>
            <w:pPr>
              <w:jc w:val="cente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17</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旅馆业特种行业许可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18</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危险货物运输经营以外的道路货物运输经营许可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exact"/>
        </w:trPr>
        <w:tc>
          <w:tcPr>
            <w:tcW w:w="566" w:type="dxa"/>
            <w:vMerge w:val="restart"/>
            <w:vAlign w:val="top"/>
          </w:tcPr>
          <w:p>
            <w:pPr>
              <w:pStyle w:val="33"/>
              <w:spacing w:before="154"/>
              <w:ind w:left="152" w:right="143"/>
              <w:jc w:val="both"/>
              <w:rPr>
                <w:rFonts w:hint="default"/>
                <w:sz w:val="22"/>
                <w:lang w:val="en-US" w:eastAsia="zh-CN"/>
              </w:rPr>
            </w:pPr>
            <w:r>
              <w:rPr>
                <w:rFonts w:hint="eastAsia"/>
                <w:sz w:val="22"/>
                <w:lang w:val="en-US" w:eastAsia="zh-CN"/>
              </w:rPr>
              <w:t>19</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restart"/>
            <w:vAlign w:val="center"/>
          </w:tcPr>
          <w:p>
            <w:pPr>
              <w:pStyle w:val="33"/>
              <w:spacing w:line="254" w:lineRule="auto"/>
              <w:ind w:right="100" w:rightChars="0"/>
              <w:jc w:val="center"/>
              <w:rPr>
                <w:sz w:val="22"/>
              </w:rPr>
            </w:pPr>
            <w:r>
              <w:rPr>
                <w:sz w:val="22"/>
              </w:rPr>
              <w:t>城市公共汽（电） 车客运经营（含线路经营）许可</w:t>
            </w: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城市公共汽电车客运经营许可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exact"/>
        </w:trPr>
        <w:tc>
          <w:tcPr>
            <w:tcW w:w="566" w:type="dxa"/>
            <w:vMerge w:val="continue"/>
            <w:vAlign w:val="top"/>
          </w:tcPr>
          <w:p>
            <w:pPr>
              <w:pStyle w:val="33"/>
              <w:spacing w:before="10"/>
              <w:jc w:val="center"/>
              <w:rPr>
                <w:rFonts w:hint="eastAsia" w:ascii="仿宋_GB2312" w:hAnsi="仿宋_GB2312" w:eastAsia="仿宋_GB2312" w:cs="仿宋_GB2312"/>
                <w:sz w:val="22"/>
                <w:szCs w:val="22"/>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城市公交线路经营许可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566" w:type="dxa"/>
            <w:vMerge w:val="restart"/>
            <w:vAlign w:val="top"/>
          </w:tcPr>
          <w:p>
            <w:pPr>
              <w:pStyle w:val="33"/>
              <w:spacing w:before="10"/>
              <w:jc w:val="center"/>
              <w:rPr>
                <w:rFonts w:hint="eastAsia" w:ascii="仿宋_GB2312" w:hAnsi="仿宋_GB2312" w:eastAsia="仿宋_GB2312" w:cs="仿宋_GB2312"/>
                <w:sz w:val="22"/>
                <w:szCs w:val="22"/>
                <w:lang w:val="en-US" w:eastAsia="zh-CN"/>
              </w:rPr>
            </w:pPr>
          </w:p>
          <w:p>
            <w:pPr>
              <w:pStyle w:val="33"/>
              <w:spacing w:before="10"/>
              <w:jc w:val="center"/>
              <w:rPr>
                <w:rFonts w:hint="default" w:ascii="仿宋_GB2312" w:hAnsi="仿宋_GB2312" w:eastAsia="仿宋_GB2312" w:cs="仿宋_GB2312"/>
                <w:sz w:val="22"/>
                <w:szCs w:val="22"/>
                <w:lang w:val="en-US"/>
              </w:rPr>
            </w:pPr>
            <w:r>
              <w:rPr>
                <w:rFonts w:hint="eastAsia" w:cs="仿宋_GB2312"/>
                <w:sz w:val="22"/>
                <w:szCs w:val="22"/>
                <w:lang w:val="en-US" w:eastAsia="zh-CN"/>
              </w:rPr>
              <w:t>20</w:t>
            </w:r>
          </w:p>
          <w:p>
            <w:pPr>
              <w:pStyle w:val="33"/>
              <w:spacing w:before="10"/>
              <w:jc w:val="center"/>
              <w:rPr>
                <w:rFonts w:hint="eastAsia" w:ascii="仿宋_GB2312" w:hAnsi="仿宋_GB2312" w:eastAsia="仿宋_GB2312" w:cs="仿宋_GB2312"/>
                <w:sz w:val="22"/>
                <w:szCs w:val="22"/>
              </w:rPr>
            </w:pPr>
          </w:p>
          <w:p>
            <w:pPr>
              <w:pStyle w:val="33"/>
              <w:spacing w:before="10"/>
              <w:jc w:val="center"/>
              <w:rPr>
                <w:rFonts w:hint="eastAsia" w:ascii="仿宋_GB2312" w:hAnsi="仿宋_GB2312" w:eastAsia="仿宋_GB2312" w:cs="仿宋_GB2312"/>
                <w:sz w:val="22"/>
                <w:szCs w:val="22"/>
                <w:lang w:val="en-US" w:eastAsia="zh-CN"/>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147" w:line="240" w:lineRule="exact"/>
              <w:ind w:right="102" w:rightChars="0"/>
              <w:jc w:val="center"/>
              <w:textAlignment w:val="auto"/>
              <w:rPr>
                <w:rFonts w:ascii="仿宋_GB2312" w:hAnsi="仿宋_GB2312" w:eastAsia="仿宋_GB2312" w:cs="仿宋_GB2312"/>
                <w:sz w:val="22"/>
                <w:szCs w:val="22"/>
                <w:lang w:val="en-US" w:eastAsia="zh-CN" w:bidi="ar-SA"/>
              </w:rPr>
            </w:pPr>
            <w:r>
              <w:rPr>
                <w:sz w:val="22"/>
              </w:rPr>
              <w:t>道路客运（班车客运、包车客运、旅游客运）及班线经营许可</w:t>
            </w:r>
          </w:p>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道路班车客运（含班线）经营许可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exact"/>
        </w:trPr>
        <w:tc>
          <w:tcPr>
            <w:tcW w:w="566" w:type="dxa"/>
            <w:vMerge w:val="continue"/>
            <w:vAlign w:val="top"/>
          </w:tcPr>
          <w:p>
            <w:pPr>
              <w:pStyle w:val="33"/>
              <w:ind w:left="152" w:right="143"/>
              <w:jc w:val="both"/>
              <w:rPr>
                <w:sz w:val="22"/>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道路包车客运经营许可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21</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出租汽车经营许可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22</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对外贸易经营者备案登记</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vAlign w:val="center"/>
          </w:tcPr>
          <w:p>
            <w:pPr>
              <w:jc w:val="center"/>
              <w:rPr>
                <w:rFonts w:hint="eastAsia"/>
                <w:lang w:val="en-US" w:eastAsia="zh-CN"/>
              </w:rPr>
            </w:pPr>
            <w:r>
              <w:rPr>
                <w:rFonts w:hint="eastAsia"/>
                <w:lang w:val="en-US" w:eastAsia="zh-CN"/>
              </w:rPr>
              <w:t>县</w:t>
            </w:r>
            <w:r>
              <w:t>商务局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exact"/>
        </w:trPr>
        <w:tc>
          <w:tcPr>
            <w:tcW w:w="566" w:type="dxa"/>
            <w:vAlign w:val="top"/>
          </w:tcPr>
          <w:p>
            <w:pPr>
              <w:pStyle w:val="33"/>
              <w:spacing w:before="154"/>
              <w:ind w:left="152" w:right="143"/>
              <w:jc w:val="both"/>
              <w:rPr>
                <w:rFonts w:hint="default"/>
                <w:sz w:val="22"/>
                <w:lang w:val="en-US" w:eastAsia="zh-CN"/>
              </w:rPr>
            </w:pPr>
            <w:r>
              <w:rPr>
                <w:rFonts w:hint="eastAsia"/>
                <w:sz w:val="22"/>
                <w:lang w:val="en-US" w:eastAsia="zh-CN"/>
              </w:rPr>
              <w:t>23</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1314"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农药经营许可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566" w:type="dxa"/>
            <w:tcBorders>
              <w:bottom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24</w:t>
            </w:r>
          </w:p>
        </w:tc>
        <w:tc>
          <w:tcPr>
            <w:tcW w:w="500" w:type="dxa"/>
            <w:vMerge w:val="continue"/>
            <w:vAlign w:val="top"/>
          </w:tcPr>
          <w:p>
            <w:pPr>
              <w:jc w:val="both"/>
              <w:rPr>
                <w:sz w:val="2"/>
                <w:szCs w:val="2"/>
              </w:rPr>
            </w:pPr>
          </w:p>
        </w:tc>
        <w:tc>
          <w:tcPr>
            <w:tcW w:w="733" w:type="dxa"/>
            <w:vMerge w:val="continue"/>
            <w:tcBorders>
              <w:bottom w:val="single" w:color="auto" w:sz="4" w:space="0"/>
            </w:tcBorders>
            <w:vAlign w:val="top"/>
          </w:tcPr>
          <w:p>
            <w:pPr>
              <w:pStyle w:val="33"/>
              <w:jc w:val="both"/>
              <w:rPr>
                <w:rFonts w:ascii="Times New Roman"/>
                <w:sz w:val="22"/>
              </w:rPr>
            </w:pPr>
          </w:p>
        </w:tc>
        <w:tc>
          <w:tcPr>
            <w:tcW w:w="4005" w:type="dxa"/>
            <w:gridSpan w:val="2"/>
            <w:tcBorders>
              <w:bottom w:val="single" w:color="auto" w:sz="4" w:space="0"/>
            </w:tcBorders>
            <w:vAlign w:val="center"/>
          </w:tcPr>
          <w:p>
            <w:pPr>
              <w:pStyle w:val="33"/>
              <w:ind w:right="1313"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兽药经营许可</w:t>
            </w:r>
          </w:p>
        </w:tc>
        <w:tc>
          <w:tcPr>
            <w:tcW w:w="1199" w:type="dxa"/>
            <w:tcBorders>
              <w:bottom w:val="single" w:color="auto" w:sz="4" w:space="0"/>
            </w:tcBorders>
            <w:vAlign w:val="center"/>
          </w:tcPr>
          <w:p>
            <w:pPr>
              <w:jc w:val="center"/>
              <w:rPr>
                <w:lang w:val="en-US" w:eastAsia="zh-CN"/>
              </w:rPr>
            </w:pPr>
            <w:r>
              <w:t>行政许可</w:t>
            </w:r>
          </w:p>
        </w:tc>
        <w:tc>
          <w:tcPr>
            <w:tcW w:w="802" w:type="dxa"/>
            <w:vMerge w:val="continue"/>
            <w:tcBorders>
              <w:bottom w:val="single" w:color="auto" w:sz="4" w:space="0"/>
            </w:tcBorders>
            <w:vAlign w:val="center"/>
          </w:tcPr>
          <w:p>
            <w:pPr>
              <w:jc w:val="center"/>
              <w:rPr>
                <w:sz w:val="2"/>
                <w:szCs w:val="2"/>
              </w:rPr>
            </w:pPr>
          </w:p>
        </w:tc>
        <w:tc>
          <w:tcPr>
            <w:tcW w:w="1752" w:type="dxa"/>
            <w:tcBorders>
              <w:bottom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tcBorders>
              <w:top w:val="single" w:color="auto" w:sz="4" w:space="0"/>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25</w:t>
            </w:r>
          </w:p>
        </w:tc>
        <w:tc>
          <w:tcPr>
            <w:tcW w:w="500" w:type="dxa"/>
            <w:vMerge w:val="continue"/>
            <w:vAlign w:val="top"/>
          </w:tcPr>
          <w:p>
            <w:pPr>
              <w:jc w:val="both"/>
              <w:rPr>
                <w:sz w:val="2"/>
                <w:szCs w:val="2"/>
              </w:rPr>
            </w:pPr>
          </w:p>
        </w:tc>
        <w:tc>
          <w:tcPr>
            <w:tcW w:w="733" w:type="dxa"/>
            <w:vMerge w:val="restart"/>
            <w:tcBorders>
              <w:top w:val="single" w:color="auto" w:sz="4" w:space="0"/>
            </w:tcBorders>
            <w:vAlign w:val="center"/>
          </w:tcPr>
          <w:p>
            <w:pPr>
              <w:pStyle w:val="33"/>
              <w:spacing w:before="9"/>
              <w:jc w:val="both"/>
              <w:rPr>
                <w:sz w:val="22"/>
              </w:rPr>
            </w:pPr>
          </w:p>
          <w:p>
            <w:pPr>
              <w:pStyle w:val="33"/>
              <w:spacing w:before="9"/>
              <w:ind w:left="200"/>
              <w:jc w:val="left"/>
              <w:rPr>
                <w:sz w:val="22"/>
              </w:rPr>
            </w:pPr>
            <w:r>
              <w:rPr>
                <w:sz w:val="22"/>
              </w:rPr>
              <w:t>2.3</w:t>
            </w:r>
          </w:p>
          <w:p>
            <w:pPr>
              <w:pStyle w:val="33"/>
              <w:jc w:val="center"/>
              <w:rPr>
                <w:spacing w:val="-8"/>
                <w:sz w:val="22"/>
              </w:rPr>
            </w:pPr>
            <w:r>
              <w:rPr>
                <w:spacing w:val="-8"/>
                <w:sz w:val="22"/>
              </w:rPr>
              <w:t>社会</w:t>
            </w:r>
          </w:p>
          <w:p>
            <w:pPr>
              <w:pStyle w:val="33"/>
              <w:jc w:val="center"/>
              <w:rPr>
                <w:spacing w:val="-8"/>
                <w:sz w:val="22"/>
              </w:rPr>
            </w:pPr>
            <w:r>
              <w:rPr>
                <w:spacing w:val="-8"/>
                <w:sz w:val="22"/>
              </w:rPr>
              <w:t>服务</w:t>
            </w:r>
          </w:p>
          <w:p>
            <w:pPr>
              <w:pStyle w:val="33"/>
              <w:jc w:val="center"/>
              <w:rPr>
                <w:spacing w:val="-8"/>
                <w:sz w:val="22"/>
              </w:rPr>
            </w:pPr>
            <w:r>
              <w:rPr>
                <w:spacing w:val="-8"/>
                <w:sz w:val="22"/>
              </w:rPr>
              <w:t>许可</w:t>
            </w:r>
          </w:p>
          <w:p>
            <w:pPr>
              <w:pStyle w:val="33"/>
              <w:jc w:val="center"/>
              <w:rPr>
                <w:rFonts w:ascii="Times New Roman"/>
                <w:sz w:val="22"/>
              </w:rPr>
            </w:pPr>
            <w:r>
              <w:rPr>
                <w:spacing w:val="-8"/>
                <w:sz w:val="22"/>
              </w:rPr>
              <w:t>办理</w:t>
            </w:r>
          </w:p>
        </w:tc>
        <w:tc>
          <w:tcPr>
            <w:tcW w:w="4005" w:type="dxa"/>
            <w:gridSpan w:val="2"/>
            <w:tcBorders>
              <w:top w:val="single" w:color="auto" w:sz="4" w:space="0"/>
            </w:tcBorders>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医疗机构设置审批及执业登记和校验</w:t>
            </w:r>
          </w:p>
        </w:tc>
        <w:tc>
          <w:tcPr>
            <w:tcW w:w="1199" w:type="dxa"/>
            <w:tcBorders>
              <w:top w:val="single" w:color="auto" w:sz="4" w:space="0"/>
            </w:tcBorders>
            <w:vAlign w:val="center"/>
          </w:tcPr>
          <w:p>
            <w:pPr>
              <w:jc w:val="center"/>
              <w:rPr>
                <w:lang w:val="en-US" w:eastAsia="zh-CN"/>
              </w:rPr>
            </w:pPr>
            <w:r>
              <w:t>行政许可</w:t>
            </w:r>
          </w:p>
        </w:tc>
        <w:tc>
          <w:tcPr>
            <w:tcW w:w="802" w:type="dxa"/>
            <w:vMerge w:val="restart"/>
            <w:tcBorders>
              <w:top w:val="single" w:color="auto" w:sz="4" w:space="0"/>
            </w:tcBorders>
            <w:vAlign w:val="center"/>
          </w:tcPr>
          <w:p>
            <w:pPr>
              <w:pStyle w:val="33"/>
              <w:spacing w:before="1"/>
              <w:jc w:val="center"/>
              <w:rPr>
                <w:rFonts w:ascii="宋体"/>
                <w:sz w:val="24"/>
              </w:rPr>
            </w:pPr>
          </w:p>
          <w:p>
            <w:pPr>
              <w:pStyle w:val="33"/>
              <w:spacing w:line="254" w:lineRule="auto"/>
              <w:ind w:left="180" w:leftChars="0" w:right="167"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行政审批服务局</w:t>
            </w:r>
          </w:p>
        </w:tc>
        <w:tc>
          <w:tcPr>
            <w:tcW w:w="1752" w:type="dxa"/>
            <w:tcBorders>
              <w:top w:val="single" w:color="auto" w:sz="4" w:space="0"/>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trPr>
        <w:tc>
          <w:tcPr>
            <w:tcW w:w="566" w:type="dxa"/>
            <w:tcBorders>
              <w:left w:val="single" w:color="auto" w:sz="4" w:space="0"/>
            </w:tcBorders>
            <w:vAlign w:val="top"/>
          </w:tcPr>
          <w:p>
            <w:pPr>
              <w:pStyle w:val="33"/>
              <w:ind w:left="152" w:right="143"/>
              <w:jc w:val="both"/>
              <w:rPr>
                <w:rFonts w:hint="eastAsia"/>
                <w:sz w:val="22"/>
                <w:lang w:val="en-US" w:eastAsia="zh-CN"/>
              </w:rPr>
            </w:pPr>
          </w:p>
          <w:p>
            <w:pPr>
              <w:pStyle w:val="33"/>
              <w:ind w:left="152" w:right="143"/>
              <w:jc w:val="both"/>
              <w:rPr>
                <w:rFonts w:hint="default" w:eastAsia="仿宋_GB2312"/>
                <w:sz w:val="22"/>
                <w:lang w:val="en-US" w:eastAsia="zh-CN"/>
              </w:rPr>
            </w:pPr>
            <w:r>
              <w:rPr>
                <w:rFonts w:hint="eastAsia"/>
                <w:sz w:val="22"/>
                <w:lang w:val="en-US" w:eastAsia="zh-CN"/>
              </w:rPr>
              <w:t>26</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民办职业技能培训机构审批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tcBorders>
              <w:left w:val="single" w:color="auto" w:sz="4" w:space="0"/>
            </w:tcBorders>
            <w:vAlign w:val="top"/>
          </w:tcPr>
          <w:p>
            <w:pPr>
              <w:pStyle w:val="33"/>
              <w:ind w:left="152" w:right="143"/>
              <w:jc w:val="both"/>
              <w:rPr>
                <w:rFonts w:hint="eastAsia"/>
                <w:sz w:val="22"/>
                <w:lang w:val="en-US" w:eastAsia="zh-CN"/>
              </w:rPr>
            </w:pPr>
          </w:p>
          <w:p>
            <w:pPr>
              <w:pStyle w:val="33"/>
              <w:ind w:left="152" w:right="143"/>
              <w:jc w:val="both"/>
              <w:rPr>
                <w:rFonts w:hint="default" w:eastAsia="仿宋_GB2312"/>
                <w:sz w:val="22"/>
                <w:lang w:val="en-US" w:eastAsia="zh-CN"/>
              </w:rPr>
            </w:pPr>
            <w:r>
              <w:rPr>
                <w:rFonts w:hint="eastAsia"/>
                <w:sz w:val="22"/>
                <w:lang w:val="en-US" w:eastAsia="zh-CN"/>
              </w:rPr>
              <w:t>27</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经营性人力资源服务机构从事职业中介活动许可</w:t>
            </w:r>
          </w:p>
        </w:tc>
        <w:tc>
          <w:tcPr>
            <w:tcW w:w="1199" w:type="dxa"/>
            <w:vAlign w:val="center"/>
          </w:tcPr>
          <w:p>
            <w:pPr>
              <w:jc w:val="center"/>
              <w:rPr>
                <w:lang w:val="en-US" w:eastAsia="zh-CN"/>
              </w:rPr>
            </w:pPr>
            <w:r>
              <w:t>行政许可</w:t>
            </w:r>
          </w:p>
        </w:tc>
        <w:tc>
          <w:tcPr>
            <w:tcW w:w="802" w:type="dxa"/>
            <w:vMerge w:val="continue"/>
            <w:vAlign w:val="center"/>
          </w:tcPr>
          <w:p>
            <w:pPr>
              <w:pStyle w:val="33"/>
              <w:spacing w:before="1" w:line="254" w:lineRule="auto"/>
              <w:ind w:left="180" w:leftChars="0" w:right="167" w:rightChars="0" w:firstLine="1" w:firstLineChars="0"/>
              <w:jc w:val="center"/>
              <w:rPr>
                <w:rFonts w:ascii="仿宋_GB2312" w:hAnsi="仿宋_GB2312" w:eastAsia="仿宋_GB2312" w:cs="仿宋_GB2312"/>
                <w:sz w:val="22"/>
                <w:szCs w:val="22"/>
                <w:lang w:val="en-US" w:eastAsia="zh-CN" w:bidi="ar-SA"/>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tcBorders>
              <w:left w:val="single" w:color="auto" w:sz="4" w:space="0"/>
            </w:tcBorders>
            <w:vAlign w:val="top"/>
          </w:tcPr>
          <w:p>
            <w:pPr>
              <w:pStyle w:val="33"/>
              <w:ind w:left="152" w:right="143"/>
              <w:jc w:val="both"/>
              <w:rPr>
                <w:rFonts w:hint="eastAsia"/>
                <w:sz w:val="22"/>
                <w:lang w:val="en-US" w:eastAsia="zh-CN"/>
              </w:rPr>
            </w:pPr>
          </w:p>
          <w:p>
            <w:pPr>
              <w:pStyle w:val="33"/>
              <w:ind w:left="152" w:right="143"/>
              <w:jc w:val="both"/>
              <w:rPr>
                <w:rFonts w:hint="default" w:eastAsia="仿宋_GB2312"/>
                <w:sz w:val="22"/>
                <w:lang w:val="en-US" w:eastAsia="zh-CN"/>
              </w:rPr>
            </w:pPr>
            <w:r>
              <w:rPr>
                <w:rFonts w:hint="eastAsia"/>
                <w:sz w:val="22"/>
                <w:lang w:val="en-US" w:eastAsia="zh-CN"/>
              </w:rPr>
              <w:t>28</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劳务派遣经营许可</w:t>
            </w:r>
          </w:p>
        </w:tc>
        <w:tc>
          <w:tcPr>
            <w:tcW w:w="1199" w:type="dxa"/>
            <w:vAlign w:val="center"/>
          </w:tcPr>
          <w:p>
            <w:pPr>
              <w:jc w:val="center"/>
              <w:rPr>
                <w:lang w:val="en-US" w:eastAsia="zh-CN"/>
              </w:rPr>
            </w:pPr>
            <w:r>
              <w:t>行政许可</w:t>
            </w:r>
          </w:p>
        </w:tc>
        <w:tc>
          <w:tcPr>
            <w:tcW w:w="802" w:type="dxa"/>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exact"/>
        </w:trPr>
        <w:tc>
          <w:tcPr>
            <w:tcW w:w="566" w:type="dxa"/>
            <w:tcBorders>
              <w:left w:val="single" w:color="auto" w:sz="4" w:space="0"/>
            </w:tcBorders>
            <w:vAlign w:val="top"/>
          </w:tcPr>
          <w:p>
            <w:pPr>
              <w:pStyle w:val="33"/>
              <w:ind w:left="152" w:right="143"/>
              <w:jc w:val="both"/>
              <w:rPr>
                <w:rFonts w:hint="eastAsia"/>
                <w:sz w:val="22"/>
                <w:lang w:val="en-US" w:eastAsia="zh-CN"/>
              </w:rPr>
            </w:pPr>
          </w:p>
          <w:p>
            <w:pPr>
              <w:pStyle w:val="33"/>
              <w:ind w:left="152" w:right="143"/>
              <w:jc w:val="both"/>
              <w:rPr>
                <w:rFonts w:hint="default" w:eastAsia="仿宋_GB2312"/>
                <w:sz w:val="22"/>
                <w:lang w:val="en-US" w:eastAsia="zh-CN"/>
              </w:rPr>
            </w:pPr>
            <w:r>
              <w:rPr>
                <w:rFonts w:hint="eastAsia"/>
                <w:sz w:val="22"/>
                <w:lang w:val="en-US" w:eastAsia="zh-CN"/>
              </w:rPr>
              <w:t>29</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互联网上网服务营业场所经营单位从事互联网上网服务经营活动许可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exact"/>
        </w:trPr>
        <w:tc>
          <w:tcPr>
            <w:tcW w:w="566" w:type="dxa"/>
            <w:tcBorders>
              <w:left w:val="single" w:color="auto" w:sz="4" w:space="0"/>
            </w:tcBorders>
            <w:vAlign w:val="top"/>
          </w:tcPr>
          <w:p>
            <w:pPr>
              <w:pStyle w:val="33"/>
              <w:spacing w:before="154"/>
              <w:ind w:left="152" w:right="143"/>
              <w:jc w:val="both"/>
              <w:rPr>
                <w:rFonts w:hint="default" w:eastAsia="仿宋_GB2312"/>
                <w:sz w:val="22"/>
                <w:lang w:val="en-US" w:eastAsia="zh-CN"/>
              </w:rPr>
            </w:pPr>
            <w:r>
              <w:rPr>
                <w:rFonts w:hint="eastAsia"/>
                <w:sz w:val="22"/>
                <w:lang w:val="en-US" w:eastAsia="zh-CN"/>
              </w:rPr>
              <w:t>30</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包装装潢印刷品和其他印刷品印刷企业设立</w:t>
            </w:r>
          </w:p>
        </w:tc>
        <w:tc>
          <w:tcPr>
            <w:tcW w:w="1199" w:type="dxa"/>
            <w:vAlign w:val="center"/>
          </w:tcPr>
          <w:p>
            <w:pPr>
              <w:jc w:val="center"/>
              <w:rPr>
                <w:lang w:val="en-US" w:eastAsia="zh-CN"/>
              </w:rPr>
            </w:pPr>
            <w:r>
              <w:t>行政许可</w:t>
            </w:r>
          </w:p>
        </w:tc>
        <w:tc>
          <w:tcPr>
            <w:tcW w:w="802" w:type="dxa"/>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eastAsia" w:ascii="仿宋_GB2312" w:hAnsi="仿宋_GB2312" w:eastAsia="仿宋_GB2312" w:cs="仿宋_GB2312"/>
                <w:sz w:val="22"/>
                <w:szCs w:val="22"/>
                <w:lang w:val="en-US" w:eastAsia="zh-CN" w:bidi="ar-SA"/>
              </w:rPr>
            </w:pPr>
            <w:r>
              <w:rPr>
                <w:sz w:val="22"/>
              </w:rPr>
              <w:t>3</w:t>
            </w:r>
            <w:r>
              <w:rPr>
                <w:rFonts w:hint="eastAsia"/>
                <w:sz w:val="22"/>
                <w:lang w:val="en-US" w:eastAsia="zh-CN"/>
              </w:rPr>
              <w:t>1</w:t>
            </w:r>
          </w:p>
        </w:tc>
        <w:tc>
          <w:tcPr>
            <w:tcW w:w="500"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spacing w:before="3"/>
              <w:jc w:val="center"/>
              <w:rPr>
                <w:rFonts w:ascii="宋体"/>
                <w:sz w:val="16"/>
              </w:rPr>
            </w:pPr>
          </w:p>
          <w:p>
            <w:pPr>
              <w:pStyle w:val="33"/>
              <w:ind w:left="11"/>
              <w:jc w:val="center"/>
              <w:rPr>
                <w:sz w:val="22"/>
              </w:rPr>
            </w:pPr>
            <w:r>
              <w:rPr>
                <w:w w:val="99"/>
                <w:sz w:val="22"/>
              </w:rPr>
              <w:t>3</w:t>
            </w:r>
          </w:p>
          <w:p>
            <w:pPr>
              <w:pStyle w:val="33"/>
              <w:spacing w:before="18" w:line="254" w:lineRule="auto"/>
              <w:ind w:left="140" w:leftChars="0" w:right="127" w:rightChars="0"/>
              <w:jc w:val="center"/>
              <w:rPr>
                <w:rFonts w:ascii="仿宋_GB2312" w:hAnsi="仿宋_GB2312" w:eastAsia="仿宋_GB2312" w:cs="仿宋_GB2312"/>
                <w:sz w:val="22"/>
                <w:szCs w:val="22"/>
                <w:lang w:val="en-US" w:eastAsia="zh-CN" w:bidi="ar-SA"/>
              </w:rPr>
            </w:pPr>
            <w:r>
              <w:rPr>
                <w:sz w:val="22"/>
              </w:rPr>
              <w:t>企业运营</w:t>
            </w:r>
          </w:p>
        </w:tc>
        <w:tc>
          <w:tcPr>
            <w:tcW w:w="733" w:type="dxa"/>
            <w:vMerge w:val="restart"/>
            <w:vAlign w:val="top"/>
          </w:tcPr>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spacing w:before="8"/>
              <w:jc w:val="both"/>
              <w:rPr>
                <w:rFonts w:ascii="宋体"/>
                <w:sz w:val="17"/>
              </w:rPr>
            </w:pPr>
          </w:p>
          <w:p>
            <w:pPr>
              <w:pStyle w:val="33"/>
              <w:ind w:left="200"/>
              <w:jc w:val="both"/>
              <w:rPr>
                <w:sz w:val="22"/>
              </w:rPr>
            </w:pPr>
            <w:r>
              <w:rPr>
                <w:sz w:val="22"/>
              </w:rPr>
              <w:t>3.1</w:t>
            </w:r>
          </w:p>
          <w:p>
            <w:pPr>
              <w:pStyle w:val="33"/>
              <w:spacing w:before="18" w:line="254" w:lineRule="auto"/>
              <w:ind w:left="145" w:leftChars="0" w:right="132" w:rightChars="0" w:firstLine="1" w:firstLineChars="0"/>
              <w:jc w:val="both"/>
              <w:rPr>
                <w:rFonts w:ascii="仿宋_GB2312" w:hAnsi="仿宋_GB2312" w:eastAsia="仿宋_GB2312" w:cs="仿宋_GB2312"/>
                <w:sz w:val="22"/>
                <w:szCs w:val="22"/>
                <w:lang w:val="en-US" w:eastAsia="zh-CN" w:bidi="ar-SA"/>
              </w:rPr>
            </w:pPr>
            <w:r>
              <w:rPr>
                <w:spacing w:val="-8"/>
                <w:sz w:val="22"/>
              </w:rPr>
              <w:t>员工保障</w:t>
            </w:r>
          </w:p>
        </w:tc>
        <w:tc>
          <w:tcPr>
            <w:tcW w:w="4005" w:type="dxa"/>
            <w:gridSpan w:val="2"/>
            <w:vAlign w:val="center"/>
          </w:tcPr>
          <w:p>
            <w:pPr>
              <w:pStyle w:val="33"/>
              <w:spacing w:before="1"/>
              <w:jc w:val="center"/>
              <w:rPr>
                <w:rFonts w:ascii="宋体"/>
                <w:sz w:val="17"/>
              </w:rPr>
            </w:pPr>
          </w:p>
          <w:p>
            <w:pPr>
              <w:pStyle w:val="33"/>
              <w:spacing w:line="254" w:lineRule="auto"/>
              <w:ind w:left="1672" w:leftChars="0" w:right="119" w:rightChars="0" w:hanging="1540" w:firstLineChars="0"/>
              <w:jc w:val="center"/>
              <w:rPr>
                <w:rFonts w:ascii="仿宋_GB2312" w:hAnsi="仿宋_GB2312" w:eastAsia="仿宋_GB2312" w:cs="仿宋_GB2312"/>
                <w:sz w:val="22"/>
                <w:szCs w:val="22"/>
                <w:lang w:val="en-US" w:eastAsia="zh-CN" w:bidi="ar-SA"/>
              </w:rPr>
            </w:pPr>
            <w:r>
              <w:rPr>
                <w:sz w:val="22"/>
              </w:rPr>
              <w:t>公共人力资源市场服务（网上发布招聘信息）</w:t>
            </w:r>
          </w:p>
        </w:tc>
        <w:tc>
          <w:tcPr>
            <w:tcW w:w="1199" w:type="dxa"/>
            <w:vAlign w:val="center"/>
          </w:tcPr>
          <w:p>
            <w:pPr>
              <w:jc w:val="center"/>
              <w:rPr>
                <w:lang w:val="en-US" w:eastAsia="zh-CN"/>
              </w:rPr>
            </w:pPr>
            <w:r>
              <w:t>公共服务</w:t>
            </w:r>
          </w:p>
        </w:tc>
        <w:tc>
          <w:tcPr>
            <w:tcW w:w="802" w:type="dxa"/>
            <w:vMerge w:val="restart"/>
            <w:vAlign w:val="center"/>
          </w:tcPr>
          <w:p>
            <w:pPr>
              <w:pStyle w:val="33"/>
              <w:jc w:val="both"/>
              <w:rPr>
                <w:rFonts w:ascii="宋体"/>
                <w:sz w:val="22"/>
              </w:rPr>
            </w:pPr>
          </w:p>
          <w:p>
            <w:pPr>
              <w:pStyle w:val="33"/>
              <w:spacing w:before="3"/>
              <w:jc w:val="center"/>
              <w:rPr>
                <w:rFonts w:ascii="宋体"/>
                <w:sz w:val="16"/>
              </w:rPr>
            </w:pPr>
          </w:p>
          <w:p>
            <w:pPr>
              <w:pStyle w:val="33"/>
              <w:spacing w:line="254" w:lineRule="auto"/>
              <w:ind w:left="181" w:leftChars="0" w:right="167" w:right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人力资源和社会保障局</w:t>
            </w:r>
          </w:p>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32</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15" w:rightChars="0"/>
              <w:jc w:val="center"/>
              <w:rPr>
                <w:rFonts w:ascii="仿宋_GB2312" w:hAnsi="仿宋_GB2312" w:eastAsia="仿宋_GB2312" w:cs="仿宋_GB2312"/>
                <w:sz w:val="22"/>
                <w:szCs w:val="22"/>
                <w:lang w:val="en-US" w:eastAsia="zh-CN" w:bidi="ar-SA"/>
              </w:rPr>
            </w:pPr>
            <w:r>
              <w:rPr>
                <w:spacing w:val="-6"/>
                <w:sz w:val="22"/>
              </w:rPr>
              <w:t>开展就业失业登记工作</w:t>
            </w:r>
            <w:r>
              <w:rPr>
                <w:sz w:val="22"/>
              </w:rPr>
              <w:t>（单位就业登记</w:t>
            </w:r>
            <w:r>
              <w:rPr>
                <w:spacing w:val="-14"/>
                <w:sz w:val="22"/>
              </w:rPr>
              <w:t>）</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33</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1313" w:rightChars="0"/>
              <w:jc w:val="center"/>
              <w:rPr>
                <w:rFonts w:ascii="仿宋_GB2312" w:hAnsi="仿宋_GB2312" w:eastAsia="仿宋_GB2312" w:cs="仿宋_GB2312"/>
                <w:sz w:val="22"/>
                <w:szCs w:val="22"/>
                <w:lang w:val="en-US" w:eastAsia="zh-CN" w:bidi="ar-SA"/>
              </w:rPr>
            </w:pPr>
            <w:r>
              <w:rPr>
                <w:sz w:val="22"/>
              </w:rPr>
              <w:t>劳动用工备案</w:t>
            </w:r>
          </w:p>
        </w:tc>
        <w:tc>
          <w:tcPr>
            <w:tcW w:w="1199" w:type="dxa"/>
            <w:vAlign w:val="center"/>
          </w:tcPr>
          <w:p>
            <w:pPr>
              <w:jc w:val="center"/>
              <w:rPr>
                <w:lang w:val="en-US" w:eastAsia="zh-CN"/>
              </w:rPr>
            </w:pPr>
            <w:r>
              <w:t>其他行政权力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restart"/>
            <w:tcBorders>
              <w:left w:val="single" w:color="auto" w:sz="4" w:space="0"/>
            </w:tcBorders>
            <w:vAlign w:val="top"/>
          </w:tcPr>
          <w:p>
            <w:pPr>
              <w:pStyle w:val="33"/>
              <w:spacing w:before="154"/>
              <w:ind w:right="143"/>
              <w:jc w:val="both"/>
              <w:rPr>
                <w:rFonts w:hint="eastAsia"/>
                <w:sz w:val="22"/>
                <w:lang w:val="en-US" w:eastAsia="zh-CN"/>
              </w:rPr>
            </w:pPr>
          </w:p>
          <w:p>
            <w:pPr>
              <w:pStyle w:val="33"/>
              <w:spacing w:before="154"/>
              <w:ind w:left="152" w:right="143"/>
              <w:jc w:val="both"/>
              <w:rPr>
                <w:rFonts w:hint="eastAsia"/>
                <w:sz w:val="22"/>
                <w:lang w:val="en-US" w:eastAsia="zh-CN"/>
              </w:rPr>
            </w:pPr>
            <w:r>
              <w:rPr>
                <w:rFonts w:hint="eastAsia"/>
                <w:sz w:val="22"/>
                <w:lang w:val="en-US" w:eastAsia="zh-CN"/>
              </w:rPr>
              <w:t>34</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restart"/>
            <w:vAlign w:val="center"/>
          </w:tcPr>
          <w:p>
            <w:pPr>
              <w:pStyle w:val="33"/>
              <w:jc w:val="center"/>
              <w:rPr>
                <w:rFonts w:ascii="宋体"/>
                <w:sz w:val="22"/>
              </w:rPr>
            </w:pPr>
          </w:p>
          <w:p>
            <w:pPr>
              <w:pStyle w:val="33"/>
              <w:ind w:right="0" w:rightChars="0" w:firstLine="440" w:firstLineChars="200"/>
              <w:jc w:val="center"/>
              <w:rPr>
                <w:sz w:val="22"/>
              </w:rPr>
            </w:pPr>
          </w:p>
          <w:p>
            <w:pPr>
              <w:pStyle w:val="33"/>
              <w:ind w:right="0" w:rightChars="0" w:firstLine="440" w:firstLineChars="200"/>
              <w:jc w:val="center"/>
              <w:rPr>
                <w:rFonts w:ascii="仿宋_GB2312" w:hAnsi="仿宋_GB2312" w:eastAsia="仿宋_GB2312" w:cs="仿宋_GB2312"/>
                <w:sz w:val="22"/>
                <w:szCs w:val="22"/>
                <w:lang w:val="en-US" w:eastAsia="zh-CN" w:bidi="ar-SA"/>
              </w:rPr>
            </w:pPr>
            <w:r>
              <w:rPr>
                <w:sz w:val="22"/>
              </w:rPr>
              <w:t>社会保险登记</w:t>
            </w:r>
          </w:p>
          <w:p>
            <w:pPr>
              <w:pStyle w:val="33"/>
              <w:ind w:left="332" w:right="321"/>
              <w:jc w:val="center"/>
              <w:rPr>
                <w:sz w:val="22"/>
              </w:rPr>
            </w:pPr>
          </w:p>
        </w:tc>
        <w:tc>
          <w:tcPr>
            <w:tcW w:w="2003" w:type="dxa"/>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企业职工参保登记</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spacing w:before="154"/>
              <w:ind w:left="152" w:right="143"/>
              <w:jc w:val="both"/>
              <w:rPr>
                <w:rFonts w:hint="eastAsia"/>
                <w:sz w:val="22"/>
                <w:lang w:val="en-US" w:eastAsia="zh-CN"/>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工程建设项目办理工伤保险参保登记</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eastAsia"/>
                <w:sz w:val="22"/>
                <w:lang w:val="en-US" w:eastAsia="zh-CN"/>
              </w:rPr>
            </w:pPr>
            <w:r>
              <w:rPr>
                <w:rFonts w:hint="eastAsia"/>
                <w:sz w:val="22"/>
                <w:lang w:val="en-US" w:eastAsia="zh-CN"/>
              </w:rPr>
              <w:t>35</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职工参保登记（医保）</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eastAsia"/>
                <w:sz w:val="22"/>
                <w:lang w:val="en-US" w:eastAsia="zh-CN"/>
              </w:rPr>
            </w:pPr>
            <w:r>
              <w:rPr>
                <w:rFonts w:hint="eastAsia"/>
                <w:sz w:val="22"/>
                <w:lang w:val="en-US" w:eastAsia="zh-CN"/>
              </w:rPr>
              <w:t>36</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企业社会保险缴费基数申报</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trPr>
        <w:tc>
          <w:tcPr>
            <w:tcW w:w="566" w:type="dxa"/>
            <w:tcBorders>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37</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before="1"/>
              <w:jc w:val="center"/>
              <w:rPr>
                <w:rFonts w:ascii="宋体"/>
                <w:sz w:val="17"/>
              </w:rPr>
            </w:pPr>
          </w:p>
          <w:p>
            <w:pPr>
              <w:pStyle w:val="33"/>
              <w:spacing w:line="254" w:lineRule="auto"/>
              <w:ind w:left="1672" w:leftChars="0" w:right="119" w:rightChars="0" w:hanging="1540" w:firstLineChars="0"/>
              <w:jc w:val="center"/>
              <w:rPr>
                <w:rFonts w:ascii="仿宋_GB2312" w:hAnsi="仿宋_GB2312" w:eastAsia="仿宋_GB2312" w:cs="仿宋_GB2312"/>
                <w:sz w:val="22"/>
                <w:szCs w:val="22"/>
                <w:lang w:val="en-US" w:eastAsia="zh-CN" w:bidi="ar-SA"/>
              </w:rPr>
            </w:pPr>
            <w:r>
              <w:rPr>
                <w:sz w:val="22"/>
              </w:rPr>
              <w:t>企业职工医疗保险费、生育保险费的申报核定</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38</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单位医疗保险工资申报</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exact"/>
        </w:trPr>
        <w:tc>
          <w:tcPr>
            <w:tcW w:w="566" w:type="dxa"/>
            <w:tcBorders>
              <w:left w:val="single" w:color="auto" w:sz="4" w:space="0"/>
            </w:tcBorders>
            <w:vAlign w:val="top"/>
          </w:tcPr>
          <w:p>
            <w:pPr>
              <w:pStyle w:val="33"/>
              <w:spacing w:before="154"/>
              <w:ind w:left="152" w:right="143"/>
              <w:jc w:val="both"/>
              <w:rPr>
                <w:rFonts w:hint="default"/>
                <w:sz w:val="22"/>
                <w:lang w:val="en-US" w:eastAsia="zh-CN"/>
              </w:rPr>
            </w:pPr>
            <w:r>
              <w:rPr>
                <w:rFonts w:hint="eastAsia"/>
                <w:sz w:val="22"/>
                <w:lang w:val="en-US" w:eastAsia="zh-CN"/>
              </w:rPr>
              <w:t>39</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before="177"/>
              <w:ind w:right="0" w:rightChars="0"/>
              <w:jc w:val="center"/>
              <w:rPr>
                <w:rFonts w:ascii="仿宋_GB2312" w:hAnsi="仿宋_GB2312" w:eastAsia="仿宋_GB2312" w:cs="仿宋_GB2312"/>
                <w:sz w:val="22"/>
                <w:szCs w:val="22"/>
                <w:lang w:val="en-US" w:eastAsia="zh-CN" w:bidi="ar-SA"/>
              </w:rPr>
            </w:pPr>
            <w:r>
              <w:rPr>
                <w:sz w:val="22"/>
              </w:rPr>
              <w:t>企业社会保险费缴纳</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医疗保障局、</w:t>
            </w:r>
          </w:p>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top"/>
          </w:tcPr>
          <w:p>
            <w:pPr>
              <w:pStyle w:val="33"/>
              <w:spacing w:before="154"/>
              <w:ind w:left="152" w:right="143"/>
              <w:jc w:val="both"/>
              <w:rPr>
                <w:rFonts w:hint="eastAsia"/>
                <w:sz w:val="22"/>
                <w:lang w:val="en-US" w:eastAsia="zh-CN"/>
              </w:rPr>
            </w:pPr>
            <w:r>
              <w:rPr>
                <w:rFonts w:hint="eastAsia"/>
                <w:sz w:val="22"/>
                <w:lang w:val="en-US" w:eastAsia="zh-CN"/>
              </w:rPr>
              <w:t>40</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企业养老保险关系转入</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exact"/>
        </w:trPr>
        <w:tc>
          <w:tcPr>
            <w:tcW w:w="566" w:type="dxa"/>
            <w:vMerge w:val="restart"/>
            <w:tcBorders>
              <w:left w:val="single" w:color="auto" w:sz="4" w:space="0"/>
            </w:tcBorders>
            <w:vAlign w:val="top"/>
          </w:tcPr>
          <w:p>
            <w:pPr>
              <w:pStyle w:val="33"/>
              <w:spacing w:before="154"/>
              <w:ind w:left="152" w:right="143"/>
              <w:jc w:val="both"/>
              <w:rPr>
                <w:rFonts w:hint="eastAsia"/>
                <w:sz w:val="22"/>
                <w:lang w:val="en-US" w:eastAsia="zh-CN"/>
              </w:rPr>
            </w:pPr>
          </w:p>
          <w:p>
            <w:pPr>
              <w:pStyle w:val="33"/>
              <w:spacing w:before="154"/>
              <w:ind w:left="152" w:right="143"/>
              <w:jc w:val="both"/>
              <w:rPr>
                <w:rFonts w:hint="eastAsia"/>
                <w:sz w:val="22"/>
                <w:lang w:val="en-US" w:eastAsia="zh-CN"/>
              </w:rPr>
            </w:pPr>
          </w:p>
          <w:p>
            <w:pPr>
              <w:pStyle w:val="33"/>
              <w:spacing w:before="154"/>
              <w:ind w:left="152" w:right="143"/>
              <w:jc w:val="both"/>
              <w:rPr>
                <w:rFonts w:hint="eastAsia"/>
                <w:sz w:val="22"/>
                <w:lang w:val="en-US" w:eastAsia="zh-CN"/>
              </w:rPr>
            </w:pPr>
            <w:r>
              <w:rPr>
                <w:rFonts w:hint="eastAsia"/>
                <w:sz w:val="22"/>
                <w:lang w:val="en-US" w:eastAsia="zh-CN"/>
              </w:rPr>
              <w:t>41</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ind w:right="0" w:rightChars="0"/>
              <w:jc w:val="center"/>
              <w:rPr>
                <w:rFonts w:ascii="仿宋_GB2312" w:hAnsi="仿宋_GB2312" w:eastAsia="仿宋_GB2312" w:cs="仿宋_GB2312"/>
                <w:sz w:val="22"/>
                <w:szCs w:val="22"/>
                <w:lang w:val="en-US" w:eastAsia="zh-CN" w:bidi="ar-SA"/>
              </w:rPr>
            </w:pPr>
            <w:r>
              <w:rPr>
                <w:sz w:val="22"/>
              </w:rPr>
              <w:t>住房公积金缴存</w:t>
            </w:r>
          </w:p>
          <w:p>
            <w:pPr>
              <w:pStyle w:val="33"/>
              <w:ind w:left="332" w:right="321"/>
              <w:jc w:val="center"/>
              <w:rPr>
                <w:sz w:val="22"/>
              </w:rPr>
            </w:pPr>
          </w:p>
        </w:tc>
        <w:tc>
          <w:tcPr>
            <w:tcW w:w="2003" w:type="dxa"/>
            <w:vAlign w:val="center"/>
          </w:tcPr>
          <w:p>
            <w:pPr>
              <w:pStyle w:val="33"/>
              <w:spacing w:line="254" w:lineRule="auto"/>
              <w:ind w:right="118" w:rightChars="0"/>
              <w:jc w:val="center"/>
              <w:rPr>
                <w:sz w:val="22"/>
              </w:rPr>
            </w:pPr>
            <w:r>
              <w:rPr>
                <w:sz w:val="22"/>
              </w:rPr>
              <w:t>住房公积金个人</w:t>
            </w:r>
          </w:p>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账户设立</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市住房公积金中心郯城县分中心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exact"/>
        </w:trPr>
        <w:tc>
          <w:tcPr>
            <w:tcW w:w="566" w:type="dxa"/>
            <w:vMerge w:val="continue"/>
            <w:tcBorders>
              <w:left w:val="single" w:color="auto" w:sz="4" w:space="0"/>
            </w:tcBorders>
            <w:vAlign w:val="top"/>
          </w:tcPr>
          <w:p>
            <w:pPr>
              <w:pStyle w:val="33"/>
              <w:ind w:left="152" w:right="143"/>
              <w:jc w:val="both"/>
              <w:rPr>
                <w:sz w:val="22"/>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5" w:rightChars="0"/>
              <w:jc w:val="center"/>
              <w:rPr>
                <w:spacing w:val="-11"/>
                <w:sz w:val="22"/>
              </w:rPr>
            </w:pPr>
            <w:r>
              <w:rPr>
                <w:spacing w:val="-11"/>
                <w:sz w:val="22"/>
              </w:rPr>
              <w:t>住房公积金</w:t>
            </w:r>
          </w:p>
          <w:p>
            <w:pPr>
              <w:pStyle w:val="33"/>
              <w:spacing w:line="254" w:lineRule="auto"/>
              <w:ind w:right="-15" w:rightChars="0"/>
              <w:jc w:val="center"/>
              <w:rPr>
                <w:rFonts w:ascii="仿宋_GB2312" w:hAnsi="仿宋_GB2312" w:eastAsia="仿宋_GB2312" w:cs="仿宋_GB2312"/>
                <w:sz w:val="22"/>
                <w:szCs w:val="22"/>
                <w:lang w:val="en-US" w:eastAsia="zh-CN" w:bidi="ar-SA"/>
              </w:rPr>
            </w:pPr>
            <w:r>
              <w:rPr>
                <w:spacing w:val="-11"/>
                <w:sz w:val="22"/>
              </w:rPr>
              <w:t>汇</w:t>
            </w:r>
            <w:r>
              <w:rPr>
                <w:sz w:val="22"/>
              </w:rPr>
              <w:t>（补</w:t>
            </w:r>
            <w:r>
              <w:rPr>
                <w:spacing w:val="-17"/>
                <w:sz w:val="22"/>
              </w:rPr>
              <w:t xml:space="preserve">） </w:t>
            </w:r>
            <w:r>
              <w:rPr>
                <w:sz w:val="22"/>
              </w:rPr>
              <w:t>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市住房公积金中心郯城县分中心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exact"/>
        </w:trPr>
        <w:tc>
          <w:tcPr>
            <w:tcW w:w="566" w:type="dxa"/>
            <w:vMerge w:val="continue"/>
            <w:tcBorders>
              <w:left w:val="single" w:color="auto" w:sz="4" w:space="0"/>
            </w:tcBorders>
            <w:vAlign w:val="top"/>
          </w:tcPr>
          <w:p>
            <w:pPr>
              <w:pStyle w:val="33"/>
              <w:ind w:left="152" w:right="143"/>
              <w:jc w:val="both"/>
              <w:rPr>
                <w:sz w:val="22"/>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住房公积金缴存基数、缴存比例调整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市住房公积金中心郯城县分中心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exact"/>
        </w:trPr>
        <w:tc>
          <w:tcPr>
            <w:tcW w:w="566" w:type="dxa"/>
            <w:vMerge w:val="continue"/>
            <w:tcBorders>
              <w:left w:val="single" w:color="auto" w:sz="4" w:space="0"/>
            </w:tcBorders>
            <w:vAlign w:val="top"/>
          </w:tcPr>
          <w:p>
            <w:pPr>
              <w:pStyle w:val="33"/>
              <w:ind w:left="152" w:right="143"/>
              <w:jc w:val="both"/>
              <w:rPr>
                <w:sz w:val="22"/>
              </w:rPr>
            </w:pP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2002" w:type="dxa"/>
            <w:vMerge w:val="continue"/>
            <w:vAlign w:val="center"/>
          </w:tcPr>
          <w:p>
            <w:pPr>
              <w:pStyle w:val="33"/>
              <w:ind w:left="332" w:right="321"/>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开具单位住房公积金缴存证明等</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市住房公积金中心郯城县分中心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2</w:t>
            </w:r>
          </w:p>
        </w:tc>
        <w:tc>
          <w:tcPr>
            <w:tcW w:w="500" w:type="dxa"/>
            <w:vMerge w:val="continue"/>
            <w:vAlign w:val="top"/>
          </w:tcPr>
          <w:p>
            <w:pPr>
              <w:jc w:val="both"/>
              <w:rPr>
                <w:sz w:val="2"/>
                <w:szCs w:val="2"/>
              </w:rPr>
            </w:pPr>
          </w:p>
        </w:tc>
        <w:tc>
          <w:tcPr>
            <w:tcW w:w="733" w:type="dxa"/>
            <w:vMerge w:val="continue"/>
            <w:vAlign w:val="top"/>
          </w:tcPr>
          <w:p>
            <w:pPr>
              <w:pStyle w:val="33"/>
              <w:jc w:val="both"/>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确有困难的单位住房公积金降低缴存比例或者缓缴审核</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市住房公积金中心郯城县分中心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3</w:t>
            </w:r>
          </w:p>
        </w:tc>
        <w:tc>
          <w:tcPr>
            <w:tcW w:w="500" w:type="dxa"/>
            <w:vMerge w:val="continue"/>
            <w:vAlign w:val="top"/>
          </w:tcPr>
          <w:p>
            <w:pPr>
              <w:jc w:val="both"/>
              <w:rPr>
                <w:sz w:val="2"/>
                <w:szCs w:val="2"/>
              </w:rPr>
            </w:pPr>
          </w:p>
        </w:tc>
        <w:tc>
          <w:tcPr>
            <w:tcW w:w="733" w:type="dxa"/>
            <w:vMerge w:val="restart"/>
            <w:vAlign w:val="center"/>
          </w:tcPr>
          <w:p>
            <w:pPr>
              <w:pStyle w:val="33"/>
              <w:ind w:left="200"/>
              <w:jc w:val="both"/>
              <w:rPr>
                <w:sz w:val="22"/>
              </w:rPr>
            </w:pPr>
            <w:r>
              <w:rPr>
                <w:sz w:val="22"/>
              </w:rPr>
              <w:t>3.2</w:t>
            </w:r>
          </w:p>
          <w:p>
            <w:pPr>
              <w:pStyle w:val="33"/>
              <w:jc w:val="center"/>
              <w:rPr>
                <w:spacing w:val="-8"/>
                <w:sz w:val="22"/>
              </w:rPr>
            </w:pPr>
            <w:r>
              <w:rPr>
                <w:spacing w:val="-8"/>
                <w:sz w:val="22"/>
              </w:rPr>
              <w:t>纳税</w:t>
            </w:r>
          </w:p>
          <w:p>
            <w:pPr>
              <w:pStyle w:val="33"/>
              <w:jc w:val="center"/>
              <w:rPr>
                <w:rFonts w:ascii="Times New Roman"/>
                <w:sz w:val="22"/>
              </w:rPr>
            </w:pPr>
            <w:r>
              <w:rPr>
                <w:spacing w:val="-8"/>
                <w:sz w:val="22"/>
              </w:rPr>
              <w:t>服务</w:t>
            </w: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纳税人资格信息报告（一般纳税人登记等事项）</w:t>
            </w:r>
          </w:p>
        </w:tc>
        <w:tc>
          <w:tcPr>
            <w:tcW w:w="1199" w:type="dxa"/>
            <w:vAlign w:val="center"/>
          </w:tcPr>
          <w:p>
            <w:pPr>
              <w:jc w:val="center"/>
              <w:rPr>
                <w:lang w:val="en-US" w:eastAsia="zh-CN"/>
              </w:rPr>
            </w:pPr>
            <w:r>
              <w:t>其他</w:t>
            </w:r>
          </w:p>
        </w:tc>
        <w:tc>
          <w:tcPr>
            <w:tcW w:w="802" w:type="dxa"/>
            <w:vMerge w:val="restart"/>
            <w:vAlign w:val="center"/>
          </w:tcPr>
          <w:p>
            <w:pPr>
              <w:pStyle w:val="33"/>
              <w:jc w:val="center"/>
              <w:rPr>
                <w:rFonts w:ascii="宋体"/>
                <w:sz w:val="22"/>
              </w:rPr>
            </w:pPr>
          </w:p>
          <w:p>
            <w:pPr>
              <w:pStyle w:val="33"/>
              <w:spacing w:before="1" w:line="254" w:lineRule="auto"/>
              <w:ind w:left="180" w:leftChars="0" w:right="167"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税务局</w:t>
            </w:r>
          </w:p>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4</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纳税人制度信息报告（存款账户账号报告等事项）</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2" w:rightChars="0"/>
              <w:jc w:val="both"/>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5</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发票管理</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6</w:t>
            </w:r>
          </w:p>
        </w:tc>
        <w:tc>
          <w:tcPr>
            <w:tcW w:w="500" w:type="dxa"/>
            <w:vMerge w:val="restart"/>
            <w:vAlign w:val="top"/>
          </w:tcPr>
          <w:p>
            <w:pPr>
              <w:ind w:left="0" w:leftChars="0" w:right="0" w:rightChars="0"/>
              <w:jc w:val="both"/>
              <w:rPr>
                <w:rFonts w:ascii="仿宋_GB2312" w:hAnsi="仿宋_GB2312" w:eastAsia="仿宋_GB2312" w:cs="仿宋_GB2312"/>
                <w:sz w:val="2"/>
                <w:szCs w:val="2"/>
                <w:lang w:val="en-US" w:eastAsia="zh-CN" w:bidi="ar-SA"/>
              </w:rPr>
            </w:pPr>
          </w:p>
        </w:tc>
        <w:tc>
          <w:tcPr>
            <w:tcW w:w="733" w:type="dxa"/>
            <w:vMerge w:val="restart"/>
            <w:vAlign w:val="center"/>
          </w:tcPr>
          <w:p>
            <w:pPr>
              <w:pStyle w:val="33"/>
              <w:ind w:left="0" w:leftChars="0" w:right="0" w:rightChars="0"/>
              <w:jc w:val="center"/>
              <w:rPr>
                <w:rFonts w:ascii="Times New Roman" w:hAnsi="仿宋_GB2312" w:eastAsia="仿宋_GB2312" w:cs="仿宋_GB2312"/>
                <w:sz w:val="22"/>
                <w:szCs w:val="22"/>
                <w:lang w:val="en-US" w:eastAsia="zh-CN" w:bidi="ar-SA"/>
              </w:rPr>
            </w:pPr>
          </w:p>
        </w:tc>
        <w:tc>
          <w:tcPr>
            <w:tcW w:w="4005" w:type="dxa"/>
            <w:gridSpan w:val="2"/>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纳税申报（各项税费）</w:t>
            </w:r>
          </w:p>
        </w:tc>
        <w:tc>
          <w:tcPr>
            <w:tcW w:w="1199" w:type="dxa"/>
            <w:vAlign w:val="center"/>
          </w:tcPr>
          <w:p>
            <w:pPr>
              <w:jc w:val="center"/>
              <w:rPr>
                <w:lang w:val="en-US" w:eastAsia="zh-CN"/>
              </w:rPr>
            </w:pPr>
            <w:r>
              <w:t>其他</w:t>
            </w:r>
          </w:p>
        </w:tc>
        <w:tc>
          <w:tcPr>
            <w:tcW w:w="802" w:type="dxa"/>
            <w:vMerge w:val="restart"/>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2"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47</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left="0" w:leftChars="0"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税收优惠</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48</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before="1"/>
              <w:ind w:left="0" w:leftChars="0" w:right="0" w:rightChars="0"/>
              <w:jc w:val="center"/>
              <w:rPr>
                <w:rFonts w:ascii="仿宋_GB2312" w:hAnsi="仿宋_GB2312" w:eastAsia="仿宋_GB2312" w:cs="仿宋_GB2312"/>
                <w:sz w:val="22"/>
                <w:szCs w:val="22"/>
                <w:lang w:val="en-US" w:eastAsia="zh-CN" w:bidi="ar-SA"/>
              </w:rPr>
            </w:pPr>
            <w:r>
              <w:rPr>
                <w:sz w:val="22"/>
              </w:rPr>
              <w:t>出口退（免）税</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restart"/>
            <w:tcBorders>
              <w:left w:val="single" w:color="auto" w:sz="4" w:space="0"/>
            </w:tcBorders>
            <w:vAlign w:val="top"/>
          </w:tcPr>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default" w:eastAsia="仿宋_GB2312"/>
                <w:sz w:val="22"/>
                <w:lang w:val="en-US" w:eastAsia="zh-CN"/>
              </w:rPr>
            </w:pPr>
            <w:r>
              <w:rPr>
                <w:rFonts w:hint="eastAsia"/>
                <w:sz w:val="22"/>
                <w:lang w:val="en-US" w:eastAsia="zh-CN"/>
              </w:rPr>
              <w:t>49</w:t>
            </w:r>
          </w:p>
        </w:tc>
        <w:tc>
          <w:tcPr>
            <w:tcW w:w="500" w:type="dxa"/>
            <w:vMerge w:val="restart"/>
            <w:vAlign w:val="center"/>
          </w:tcPr>
          <w:p>
            <w:pPr>
              <w:pStyle w:val="33"/>
              <w:spacing w:line="254" w:lineRule="auto"/>
              <w:ind w:right="100" w:rightChars="0"/>
              <w:jc w:val="center"/>
              <w:rPr>
                <w:sz w:val="22"/>
              </w:rPr>
            </w:pPr>
          </w:p>
          <w:p>
            <w:pPr>
              <w:pStyle w:val="33"/>
              <w:spacing w:line="254" w:lineRule="auto"/>
              <w:ind w:right="100" w:rightChars="0"/>
              <w:jc w:val="center"/>
              <w:rPr>
                <w:sz w:val="22"/>
              </w:rPr>
            </w:pPr>
          </w:p>
          <w:p>
            <w:pPr>
              <w:pStyle w:val="33"/>
              <w:spacing w:line="254" w:lineRule="auto"/>
              <w:ind w:right="100" w:rightChars="0"/>
              <w:jc w:val="center"/>
              <w:rPr>
                <w:sz w:val="22"/>
              </w:rPr>
            </w:pPr>
          </w:p>
          <w:p>
            <w:pPr>
              <w:pStyle w:val="33"/>
              <w:spacing w:line="254" w:lineRule="auto"/>
              <w:ind w:right="100" w:rightChars="0"/>
              <w:jc w:val="center"/>
              <w:rPr>
                <w:sz w:val="22"/>
              </w:rPr>
            </w:pPr>
            <w:r>
              <w:rPr>
                <w:sz w:val="22"/>
              </w:rPr>
              <w:t>3</w:t>
            </w:r>
          </w:p>
          <w:p>
            <w:pPr>
              <w:pStyle w:val="33"/>
              <w:spacing w:line="254" w:lineRule="auto"/>
              <w:ind w:right="100" w:rightChars="0"/>
              <w:jc w:val="center"/>
              <w:rPr>
                <w:sz w:val="22"/>
              </w:rPr>
            </w:pPr>
            <w:r>
              <w:rPr>
                <w:sz w:val="22"/>
              </w:rPr>
              <w:t>企</w:t>
            </w:r>
          </w:p>
          <w:p>
            <w:pPr>
              <w:pStyle w:val="33"/>
              <w:spacing w:line="254" w:lineRule="auto"/>
              <w:ind w:right="100" w:rightChars="0"/>
              <w:jc w:val="center"/>
              <w:rPr>
                <w:sz w:val="22"/>
              </w:rPr>
            </w:pPr>
            <w:r>
              <w:rPr>
                <w:sz w:val="22"/>
              </w:rPr>
              <w:t>业</w:t>
            </w:r>
          </w:p>
          <w:p>
            <w:pPr>
              <w:pStyle w:val="33"/>
              <w:spacing w:line="254" w:lineRule="auto"/>
              <w:ind w:right="100" w:rightChars="0"/>
              <w:jc w:val="center"/>
              <w:rPr>
                <w:sz w:val="22"/>
              </w:rPr>
            </w:pPr>
            <w:r>
              <w:rPr>
                <w:sz w:val="22"/>
              </w:rPr>
              <w:t>运</w:t>
            </w:r>
          </w:p>
          <w:p>
            <w:pPr>
              <w:pStyle w:val="33"/>
              <w:spacing w:line="254" w:lineRule="auto"/>
              <w:ind w:right="100" w:rightChars="0"/>
              <w:jc w:val="center"/>
              <w:rPr>
                <w:sz w:val="22"/>
              </w:rPr>
            </w:pPr>
            <w:r>
              <w:rPr>
                <w:sz w:val="22"/>
              </w:rPr>
              <w:t>营</w:t>
            </w:r>
          </w:p>
        </w:tc>
        <w:tc>
          <w:tcPr>
            <w:tcW w:w="733" w:type="dxa"/>
            <w:vMerge w:val="restart"/>
            <w:vAlign w:val="center"/>
          </w:tcPr>
          <w:p>
            <w:pPr>
              <w:pStyle w:val="33"/>
              <w:spacing w:line="254" w:lineRule="auto"/>
              <w:ind w:right="100" w:rightChars="0"/>
              <w:jc w:val="center"/>
              <w:rPr>
                <w:sz w:val="22"/>
              </w:rPr>
            </w:pPr>
            <w:r>
              <w:rPr>
                <w:sz w:val="22"/>
              </w:rPr>
              <w:t>3.3</w:t>
            </w:r>
          </w:p>
          <w:p>
            <w:pPr>
              <w:pStyle w:val="33"/>
              <w:spacing w:line="254" w:lineRule="auto"/>
              <w:ind w:right="100" w:rightChars="0"/>
              <w:jc w:val="center"/>
              <w:rPr>
                <w:sz w:val="22"/>
              </w:rPr>
            </w:pPr>
            <w:r>
              <w:rPr>
                <w:sz w:val="22"/>
              </w:rPr>
              <w:t>财产</w:t>
            </w:r>
          </w:p>
          <w:p>
            <w:pPr>
              <w:pStyle w:val="33"/>
              <w:spacing w:line="254" w:lineRule="auto"/>
              <w:ind w:right="100" w:rightChars="0"/>
              <w:jc w:val="center"/>
              <w:rPr>
                <w:sz w:val="22"/>
              </w:rPr>
            </w:pPr>
            <w:r>
              <w:rPr>
                <w:sz w:val="22"/>
              </w:rPr>
              <w:t>登记</w:t>
            </w:r>
          </w:p>
        </w:tc>
        <w:tc>
          <w:tcPr>
            <w:tcW w:w="2002" w:type="dxa"/>
            <w:vMerge w:val="restart"/>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不动产登记</w:t>
            </w:r>
          </w:p>
          <w:p>
            <w:pPr>
              <w:pStyle w:val="33"/>
              <w:ind w:right="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建设用地使用权登记</w:t>
            </w:r>
          </w:p>
        </w:tc>
        <w:tc>
          <w:tcPr>
            <w:tcW w:w="1199" w:type="dxa"/>
            <w:vAlign w:val="center"/>
          </w:tcPr>
          <w:p>
            <w:pPr>
              <w:jc w:val="center"/>
              <w:rPr>
                <w:lang w:val="en-US" w:eastAsia="zh-CN"/>
              </w:rPr>
            </w:pPr>
            <w:r>
              <w:t>行政确认</w:t>
            </w:r>
          </w:p>
        </w:tc>
        <w:tc>
          <w:tcPr>
            <w:tcW w:w="802" w:type="dxa"/>
            <w:vMerge w:val="restart"/>
            <w:vAlign w:val="center"/>
          </w:tcPr>
          <w:p>
            <w:pPr>
              <w:pStyle w:val="33"/>
              <w:spacing w:before="12"/>
              <w:jc w:val="center"/>
              <w:rPr>
                <w:rFonts w:ascii="宋体"/>
                <w:sz w:val="17"/>
              </w:rPr>
            </w:pPr>
          </w:p>
          <w:p>
            <w:pPr>
              <w:pStyle w:val="33"/>
              <w:spacing w:line="254" w:lineRule="auto"/>
              <w:ind w:left="181" w:leftChars="0" w:right="167" w:right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自然资源和规划局</w:t>
            </w:r>
          </w:p>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自然资源和</w:t>
            </w:r>
          </w:p>
          <w:p>
            <w:pPr>
              <w:jc w:val="center"/>
              <w:rPr>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房屋等建筑物、构筑物所有权登记</w:t>
            </w:r>
          </w:p>
        </w:tc>
        <w:tc>
          <w:tcPr>
            <w:tcW w:w="1199" w:type="dxa"/>
            <w:vAlign w:val="center"/>
          </w:tcPr>
          <w:p>
            <w:pPr>
              <w:jc w:val="center"/>
              <w:rPr>
                <w:lang w:val="en-US" w:eastAsia="zh-CN"/>
              </w:rPr>
            </w:pPr>
            <w:r>
              <w:t>行政确认</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自然资源和</w:t>
            </w:r>
          </w:p>
          <w:p>
            <w:pPr>
              <w:jc w:val="center"/>
              <w:rPr>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抵押权登记</w:t>
            </w:r>
          </w:p>
        </w:tc>
        <w:tc>
          <w:tcPr>
            <w:tcW w:w="1199" w:type="dxa"/>
            <w:vAlign w:val="center"/>
          </w:tcPr>
          <w:p>
            <w:pPr>
              <w:jc w:val="center"/>
              <w:rPr>
                <w:lang w:val="en-US" w:eastAsia="zh-CN"/>
              </w:rPr>
            </w:pPr>
            <w:r>
              <w:t>行政确认</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自然资源和</w:t>
            </w:r>
          </w:p>
          <w:p>
            <w:pPr>
              <w:jc w:val="center"/>
              <w:rPr>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restart"/>
            <w:tcBorders>
              <w:left w:val="single" w:color="auto" w:sz="4" w:space="0"/>
            </w:tcBorders>
            <w:vAlign w:val="top"/>
          </w:tcPr>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default" w:eastAsia="仿宋_GB2312"/>
                <w:sz w:val="22"/>
                <w:lang w:val="en-US" w:eastAsia="zh-CN"/>
              </w:rPr>
            </w:pPr>
            <w:r>
              <w:rPr>
                <w:rFonts w:hint="eastAsia"/>
                <w:sz w:val="22"/>
                <w:lang w:val="en-US" w:eastAsia="zh-CN"/>
              </w:rPr>
              <w:t>50</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restart"/>
            <w:vAlign w:val="center"/>
          </w:tcPr>
          <w:p>
            <w:pPr>
              <w:pStyle w:val="33"/>
              <w:spacing w:line="254" w:lineRule="auto"/>
              <w:ind w:right="100" w:rightChars="0"/>
              <w:jc w:val="center"/>
              <w:rPr>
                <w:rFonts w:ascii="仿宋_GB2312" w:hAnsi="仿宋_GB2312" w:eastAsia="仿宋_GB2312" w:cs="仿宋_GB2312"/>
                <w:sz w:val="22"/>
                <w:szCs w:val="22"/>
                <w:lang w:val="en-US" w:eastAsia="zh-CN" w:bidi="ar-SA"/>
              </w:rPr>
            </w:pPr>
            <w:r>
              <w:rPr>
                <w:sz w:val="22"/>
              </w:rPr>
              <w:t>机动车登记（注册登记、变更登记、转移登记、抵押登记、注销登记）</w:t>
            </w:r>
          </w:p>
          <w:p>
            <w:pPr>
              <w:pStyle w:val="33"/>
              <w:ind w:right="0" w:rightChars="0"/>
              <w:jc w:val="center"/>
              <w:rPr>
                <w:sz w:val="22"/>
              </w:rPr>
            </w:pPr>
          </w:p>
        </w:tc>
        <w:tc>
          <w:tcPr>
            <w:tcW w:w="2003" w:type="dxa"/>
            <w:vAlign w:val="center"/>
          </w:tcPr>
          <w:p>
            <w:pPr>
              <w:pStyle w:val="33"/>
              <w:spacing w:line="254" w:lineRule="auto"/>
              <w:ind w:right="173" w:rightChars="0"/>
              <w:jc w:val="center"/>
              <w:rPr>
                <w:rFonts w:ascii="仿宋_GB2312" w:hAnsi="仿宋_GB2312" w:eastAsia="仿宋_GB2312" w:cs="仿宋_GB2312"/>
                <w:sz w:val="22"/>
                <w:szCs w:val="22"/>
                <w:lang w:val="en-US" w:eastAsia="zh-CN" w:bidi="ar-SA"/>
              </w:rPr>
            </w:pPr>
            <w:r>
              <w:rPr>
                <w:sz w:val="22"/>
              </w:rPr>
              <w:t>机动车登记-注册登记</w:t>
            </w:r>
          </w:p>
        </w:tc>
        <w:tc>
          <w:tcPr>
            <w:tcW w:w="1199" w:type="dxa"/>
            <w:vAlign w:val="center"/>
          </w:tcPr>
          <w:p>
            <w:pPr>
              <w:jc w:val="center"/>
              <w:rPr>
                <w:lang w:val="en-US" w:eastAsia="zh-CN"/>
              </w:rPr>
            </w:pPr>
            <w:r>
              <w:t>行政许可</w:t>
            </w:r>
          </w:p>
        </w:tc>
        <w:tc>
          <w:tcPr>
            <w:tcW w:w="802" w:type="dxa"/>
            <w:vMerge w:val="restart"/>
            <w:vAlign w:val="center"/>
          </w:tcPr>
          <w:p>
            <w:pPr>
              <w:jc w:val="center"/>
              <w:rPr>
                <w:rFonts w:hint="eastAsia"/>
                <w:sz w:val="22"/>
                <w:lang w:val="en-US" w:eastAsia="zh-CN"/>
              </w:rPr>
            </w:pPr>
          </w:p>
          <w:p>
            <w:pPr>
              <w:jc w:val="center"/>
              <w:rPr>
                <w:rFonts w:hint="eastAsia"/>
                <w:sz w:val="22"/>
                <w:lang w:val="en-US" w:eastAsia="zh-CN"/>
              </w:rPr>
            </w:pPr>
          </w:p>
          <w:p>
            <w:pPr>
              <w:jc w:val="center"/>
              <w:rPr>
                <w:rFonts w:hint="eastAsia"/>
                <w:sz w:val="22"/>
                <w:lang w:val="en-US" w:eastAsia="zh-CN"/>
              </w:rPr>
            </w:pPr>
          </w:p>
          <w:p>
            <w:pPr>
              <w:jc w:val="center"/>
              <w:rPr>
                <w:rFonts w:hint="eastAsia"/>
                <w:sz w:val="22"/>
                <w:lang w:val="en-US" w:eastAsia="zh-CN"/>
              </w:rPr>
            </w:pPr>
            <w:r>
              <w:rPr>
                <w:rFonts w:hint="eastAsia"/>
                <w:sz w:val="22"/>
                <w:lang w:val="en-US" w:eastAsia="zh-CN"/>
              </w:rPr>
              <w:t>县</w:t>
            </w:r>
          </w:p>
          <w:p>
            <w:pPr>
              <w:jc w:val="center"/>
              <w:rPr>
                <w:sz w:val="22"/>
              </w:rPr>
            </w:pPr>
            <w:r>
              <w:rPr>
                <w:sz w:val="22"/>
              </w:rPr>
              <w:t>公</w:t>
            </w:r>
          </w:p>
          <w:p>
            <w:pPr>
              <w:jc w:val="center"/>
              <w:rPr>
                <w:sz w:val="22"/>
              </w:rPr>
            </w:pPr>
            <w:r>
              <w:rPr>
                <w:sz w:val="22"/>
              </w:rPr>
              <w:t>安</w:t>
            </w:r>
          </w:p>
          <w:p>
            <w:pPr>
              <w:jc w:val="center"/>
              <w:rPr>
                <w:sz w:val="2"/>
                <w:szCs w:val="2"/>
              </w:rPr>
            </w:pPr>
            <w:r>
              <w:rPr>
                <w:sz w:val="22"/>
              </w:rPr>
              <w:t>局</w:t>
            </w: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73" w:rightChars="0"/>
              <w:jc w:val="center"/>
              <w:rPr>
                <w:rFonts w:ascii="仿宋_GB2312" w:hAnsi="仿宋_GB2312" w:eastAsia="仿宋_GB2312" w:cs="仿宋_GB2312"/>
                <w:sz w:val="22"/>
                <w:szCs w:val="22"/>
                <w:lang w:val="en-US" w:eastAsia="zh-CN" w:bidi="ar-SA"/>
              </w:rPr>
            </w:pPr>
            <w:r>
              <w:rPr>
                <w:sz w:val="22"/>
              </w:rPr>
              <w:t>机动车登记-变更登记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73" w:rightChars="0"/>
              <w:jc w:val="center"/>
              <w:rPr>
                <w:rFonts w:ascii="仿宋_GB2312" w:hAnsi="仿宋_GB2312" w:eastAsia="仿宋_GB2312" w:cs="仿宋_GB2312"/>
                <w:sz w:val="22"/>
                <w:szCs w:val="22"/>
                <w:lang w:val="en-US" w:eastAsia="zh-CN" w:bidi="ar-SA"/>
              </w:rPr>
            </w:pPr>
            <w:r>
              <w:rPr>
                <w:sz w:val="22"/>
              </w:rPr>
              <w:t>机动车登记-转移登记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73" w:rightChars="0"/>
              <w:jc w:val="center"/>
              <w:rPr>
                <w:rFonts w:ascii="仿宋_GB2312" w:hAnsi="仿宋_GB2312" w:eastAsia="仿宋_GB2312" w:cs="仿宋_GB2312"/>
                <w:sz w:val="22"/>
                <w:szCs w:val="22"/>
                <w:lang w:val="en-US" w:eastAsia="zh-CN" w:bidi="ar-SA"/>
              </w:rPr>
            </w:pPr>
            <w:r>
              <w:rPr>
                <w:sz w:val="22"/>
              </w:rPr>
              <w:t>机动车登记-抵押登记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73" w:rightChars="0"/>
              <w:jc w:val="center"/>
              <w:rPr>
                <w:rFonts w:ascii="仿宋_GB2312" w:hAnsi="仿宋_GB2312" w:eastAsia="仿宋_GB2312" w:cs="仿宋_GB2312"/>
                <w:sz w:val="22"/>
                <w:szCs w:val="22"/>
                <w:lang w:val="en-US" w:eastAsia="zh-CN" w:bidi="ar-SA"/>
              </w:rPr>
            </w:pPr>
            <w:r>
              <w:rPr>
                <w:sz w:val="22"/>
              </w:rPr>
              <w:t>机动车登记-注销登记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restart"/>
            <w:tcBorders>
              <w:left w:val="single" w:color="auto" w:sz="4" w:space="0"/>
            </w:tcBorders>
            <w:vAlign w:val="top"/>
          </w:tcPr>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default" w:eastAsia="仿宋_GB2312"/>
                <w:sz w:val="22"/>
                <w:lang w:val="en-US" w:eastAsia="zh-CN"/>
              </w:rPr>
            </w:pPr>
            <w:r>
              <w:rPr>
                <w:rFonts w:hint="eastAsia"/>
                <w:sz w:val="22"/>
                <w:lang w:val="en-US" w:eastAsia="zh-CN"/>
              </w:rPr>
              <w:t>51</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restart"/>
            <w:vAlign w:val="center"/>
          </w:tcPr>
          <w:p>
            <w:pPr>
              <w:pStyle w:val="33"/>
              <w:jc w:val="center"/>
              <w:rPr>
                <w:rFonts w:ascii="宋体"/>
                <w:sz w:val="22"/>
              </w:rPr>
            </w:pPr>
          </w:p>
          <w:p>
            <w:pPr>
              <w:pStyle w:val="33"/>
              <w:jc w:val="center"/>
              <w:rPr>
                <w:rFonts w:ascii="宋体"/>
                <w:sz w:val="22"/>
              </w:rPr>
            </w:pPr>
          </w:p>
          <w:p>
            <w:pPr>
              <w:pStyle w:val="33"/>
              <w:spacing w:line="254" w:lineRule="auto"/>
              <w:ind w:right="100" w:rightChars="0"/>
              <w:jc w:val="center"/>
              <w:rPr>
                <w:rFonts w:ascii="仿宋_GB2312" w:hAnsi="仿宋_GB2312" w:eastAsia="仿宋_GB2312" w:cs="仿宋_GB2312"/>
                <w:sz w:val="22"/>
                <w:szCs w:val="22"/>
                <w:lang w:val="en-US" w:eastAsia="zh-CN" w:bidi="ar-SA"/>
              </w:rPr>
            </w:pPr>
            <w:r>
              <w:rPr>
                <w:sz w:val="22"/>
              </w:rPr>
              <w:t>动产和权利担保登记</w:t>
            </w:r>
          </w:p>
          <w:p>
            <w:pPr>
              <w:pStyle w:val="33"/>
              <w:ind w:right="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动产抵押</w:t>
            </w:r>
          </w:p>
        </w:tc>
        <w:tc>
          <w:tcPr>
            <w:tcW w:w="1199" w:type="dxa"/>
            <w:vAlign w:val="center"/>
          </w:tcPr>
          <w:p>
            <w:pPr>
              <w:jc w:val="center"/>
              <w:rPr>
                <w:lang w:val="en-US" w:eastAsia="zh-CN"/>
              </w:rPr>
            </w:pPr>
            <w:r>
              <w:t>其他</w:t>
            </w:r>
          </w:p>
        </w:tc>
        <w:tc>
          <w:tcPr>
            <w:tcW w:w="802" w:type="dxa"/>
            <w:vMerge w:val="restart"/>
            <w:vAlign w:val="center"/>
          </w:tcPr>
          <w:p>
            <w:pPr>
              <w:pStyle w:val="33"/>
              <w:jc w:val="center"/>
              <w:rPr>
                <w:rFonts w:ascii="宋体"/>
                <w:sz w:val="22"/>
              </w:rPr>
            </w:pPr>
          </w:p>
          <w:p>
            <w:pPr>
              <w:pStyle w:val="33"/>
              <w:spacing w:before="6"/>
              <w:jc w:val="center"/>
              <w:rPr>
                <w:rFonts w:ascii="宋体"/>
                <w:sz w:val="25"/>
              </w:rPr>
            </w:pPr>
          </w:p>
          <w:p>
            <w:pPr>
              <w:pStyle w:val="33"/>
              <w:spacing w:line="254" w:lineRule="auto"/>
              <w:ind w:left="181" w:leftChars="0" w:right="167" w:rightChars="0"/>
              <w:jc w:val="center"/>
              <w:rPr>
                <w:rFonts w:ascii="仿宋_GB2312" w:hAnsi="仿宋_GB2312" w:eastAsia="仿宋_GB2312" w:cs="仿宋_GB2312"/>
                <w:sz w:val="22"/>
                <w:szCs w:val="22"/>
                <w:lang w:val="en-US" w:eastAsia="zh-CN" w:bidi="ar-SA"/>
              </w:rPr>
            </w:pPr>
            <w:r>
              <w:rPr>
                <w:sz w:val="22"/>
              </w:rPr>
              <w:t>中国人民银行</w:t>
            </w:r>
            <w:r>
              <w:rPr>
                <w:rFonts w:hint="eastAsia"/>
                <w:sz w:val="22"/>
                <w:lang w:val="en-US" w:eastAsia="zh-CN"/>
              </w:rPr>
              <w:t>郯城县</w:t>
            </w:r>
            <w:r>
              <w:rPr>
                <w:sz w:val="22"/>
              </w:rPr>
              <w:t>支行</w:t>
            </w:r>
          </w:p>
          <w:p>
            <w:pPr>
              <w:jc w:val="center"/>
              <w:rPr>
                <w:sz w:val="2"/>
                <w:szCs w:val="2"/>
              </w:rPr>
            </w:pPr>
          </w:p>
        </w:tc>
        <w:tc>
          <w:tcPr>
            <w:tcW w:w="1752" w:type="dxa"/>
            <w:tcBorders>
              <w:right w:val="single" w:color="auto" w:sz="4" w:space="0"/>
            </w:tcBorders>
            <w:vAlign w:val="center"/>
          </w:tcPr>
          <w:p>
            <w:pPr>
              <w:jc w:val="center"/>
            </w:pPr>
            <w:r>
              <w:t>中国人民银行</w:t>
            </w:r>
          </w:p>
          <w:p>
            <w:pPr>
              <w:jc w:val="center"/>
              <w:rPr>
                <w:lang w:val="en-US" w:eastAsia="zh-CN"/>
              </w:rPr>
            </w:pP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应收账款质押</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t>中国人民银行</w:t>
            </w:r>
          </w:p>
          <w:p>
            <w:pPr>
              <w:jc w:val="center"/>
              <w:rPr>
                <w:lang w:val="en-US" w:eastAsia="zh-CN"/>
              </w:rPr>
            </w:pP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sz w:val="22"/>
              </w:rPr>
            </w:pPr>
            <w:r>
              <w:rPr>
                <w:sz w:val="22"/>
              </w:rPr>
              <w:t>存款单、仓单、</w:t>
            </w:r>
          </w:p>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提单质押</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t>中国人民银行</w:t>
            </w:r>
          </w:p>
          <w:p>
            <w:pPr>
              <w:jc w:val="center"/>
              <w:rPr>
                <w:lang w:val="en-US" w:eastAsia="zh-CN"/>
              </w:rPr>
            </w:pP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融资租赁</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t>中国人民银行</w:t>
            </w:r>
          </w:p>
          <w:p>
            <w:pPr>
              <w:jc w:val="center"/>
              <w:rPr>
                <w:lang w:val="en-US" w:eastAsia="zh-CN"/>
              </w:rPr>
            </w:pP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before="1"/>
              <w:ind w:right="118" w:rightChars="0"/>
              <w:jc w:val="center"/>
              <w:rPr>
                <w:rFonts w:ascii="仿宋_GB2312" w:hAnsi="仿宋_GB2312" w:eastAsia="仿宋_GB2312" w:cs="仿宋_GB2312"/>
                <w:sz w:val="22"/>
                <w:szCs w:val="22"/>
                <w:lang w:val="en-US" w:eastAsia="zh-CN" w:bidi="ar-SA"/>
              </w:rPr>
            </w:pPr>
            <w:r>
              <w:rPr>
                <w:sz w:val="22"/>
              </w:rPr>
              <w:t>保理</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t>中国人民银行</w:t>
            </w:r>
          </w:p>
          <w:p>
            <w:pPr>
              <w:jc w:val="center"/>
              <w:rPr>
                <w:lang w:val="en-US" w:eastAsia="zh-CN"/>
              </w:rPr>
            </w:pPr>
            <w:r>
              <w:rPr>
                <w:rFonts w:hint="eastAsia"/>
                <w:lang w:val="en-US" w:eastAsia="zh-CN"/>
              </w:rPr>
              <w:t>郯城县</w:t>
            </w:r>
            <w:r>
              <w:t>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ind w:right="0" w:rightChars="0"/>
              <w:jc w:val="center"/>
              <w:rPr>
                <w:sz w:val="22"/>
              </w:rPr>
            </w:pPr>
            <w:r>
              <w:rPr>
                <w:sz w:val="22"/>
              </w:rPr>
              <w:t>股权出质登记</w:t>
            </w:r>
          </w:p>
        </w:tc>
        <w:tc>
          <w:tcPr>
            <w:tcW w:w="1199" w:type="dxa"/>
            <w:vAlign w:val="center"/>
          </w:tcPr>
          <w:p>
            <w:pPr>
              <w:jc w:val="center"/>
            </w:pPr>
            <w:r>
              <w:t>行政确认</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566" w:type="dxa"/>
            <w:vMerge w:val="restart"/>
            <w:tcBorders>
              <w:left w:val="single" w:color="auto" w:sz="4" w:space="0"/>
            </w:tcBorders>
            <w:vAlign w:val="top"/>
          </w:tcPr>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eastAsia"/>
                <w:sz w:val="22"/>
                <w:lang w:val="en-US" w:eastAsia="zh-CN"/>
              </w:rPr>
            </w:pPr>
          </w:p>
          <w:p>
            <w:pPr>
              <w:pStyle w:val="33"/>
              <w:ind w:left="152" w:leftChars="0" w:right="143" w:rightChars="0"/>
              <w:jc w:val="both"/>
              <w:rPr>
                <w:rFonts w:hint="default" w:eastAsia="仿宋_GB2312"/>
                <w:sz w:val="22"/>
                <w:lang w:val="en-US" w:eastAsia="zh-CN"/>
              </w:rPr>
            </w:pPr>
            <w:r>
              <w:rPr>
                <w:rFonts w:hint="eastAsia"/>
                <w:sz w:val="22"/>
                <w:lang w:val="en-US" w:eastAsia="zh-CN"/>
              </w:rPr>
              <w:t>52</w:t>
            </w:r>
          </w:p>
        </w:tc>
        <w:tc>
          <w:tcPr>
            <w:tcW w:w="500" w:type="dxa"/>
            <w:vMerge w:val="continue"/>
            <w:vAlign w:val="top"/>
          </w:tcPr>
          <w:p>
            <w:pPr>
              <w:jc w:val="both"/>
              <w:rPr>
                <w:sz w:val="2"/>
                <w:szCs w:val="2"/>
              </w:rPr>
            </w:pPr>
          </w:p>
        </w:tc>
        <w:tc>
          <w:tcPr>
            <w:tcW w:w="733" w:type="dxa"/>
            <w:vMerge w:val="restart"/>
            <w:vAlign w:val="center"/>
          </w:tcPr>
          <w:p>
            <w:pPr>
              <w:pStyle w:val="33"/>
              <w:ind w:left="200"/>
              <w:jc w:val="both"/>
              <w:rPr>
                <w:sz w:val="22"/>
              </w:rPr>
            </w:pPr>
            <w:r>
              <w:rPr>
                <w:sz w:val="22"/>
              </w:rPr>
              <w:t>3.4</w:t>
            </w:r>
          </w:p>
          <w:p>
            <w:pPr>
              <w:pStyle w:val="33"/>
              <w:tabs>
                <w:tab w:val="left" w:pos="236"/>
              </w:tabs>
              <w:jc w:val="center"/>
              <w:rPr>
                <w:spacing w:val="-8"/>
                <w:sz w:val="22"/>
              </w:rPr>
            </w:pPr>
            <w:r>
              <w:rPr>
                <w:spacing w:val="-8"/>
                <w:sz w:val="22"/>
              </w:rPr>
              <w:t>扶持</w:t>
            </w:r>
          </w:p>
          <w:p>
            <w:pPr>
              <w:pStyle w:val="33"/>
              <w:tabs>
                <w:tab w:val="left" w:pos="236"/>
              </w:tabs>
              <w:jc w:val="center"/>
              <w:rPr>
                <w:rFonts w:hint="eastAsia" w:ascii="Times New Roman" w:eastAsia="仿宋_GB2312"/>
                <w:sz w:val="22"/>
                <w:lang w:eastAsia="zh-CN"/>
              </w:rPr>
            </w:pPr>
            <w:r>
              <w:rPr>
                <w:spacing w:val="-8"/>
                <w:sz w:val="22"/>
              </w:rPr>
              <w:t>补贴</w:t>
            </w:r>
          </w:p>
        </w:tc>
        <w:tc>
          <w:tcPr>
            <w:tcW w:w="2002" w:type="dxa"/>
            <w:vMerge w:val="restart"/>
            <w:vAlign w:val="center"/>
          </w:tcPr>
          <w:p>
            <w:pPr>
              <w:pStyle w:val="33"/>
              <w:spacing w:before="1" w:line="254" w:lineRule="auto"/>
              <w:ind w:right="100" w:rightChars="0"/>
              <w:jc w:val="center"/>
              <w:rPr>
                <w:rFonts w:ascii="仿宋_GB2312" w:hAnsi="仿宋_GB2312" w:eastAsia="仿宋_GB2312" w:cs="仿宋_GB2312"/>
                <w:sz w:val="22"/>
                <w:szCs w:val="22"/>
                <w:lang w:val="en-US" w:eastAsia="zh-CN" w:bidi="ar-SA"/>
              </w:rPr>
            </w:pPr>
            <w:r>
              <w:rPr>
                <w:sz w:val="22"/>
              </w:rPr>
              <w:t>创业担保贷款、创业补贴服务</w:t>
            </w:r>
          </w:p>
          <w:p>
            <w:pPr>
              <w:pStyle w:val="33"/>
              <w:ind w:right="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小微企业申请创业担保贷款资格审核</w:t>
            </w:r>
          </w:p>
        </w:tc>
        <w:tc>
          <w:tcPr>
            <w:tcW w:w="1199" w:type="dxa"/>
            <w:vAlign w:val="center"/>
          </w:tcPr>
          <w:p>
            <w:pPr>
              <w:jc w:val="center"/>
              <w:rPr>
                <w:lang w:val="en-US" w:eastAsia="zh-CN"/>
              </w:rPr>
            </w:pPr>
            <w:r>
              <w:t>公共服务</w:t>
            </w:r>
          </w:p>
        </w:tc>
        <w:tc>
          <w:tcPr>
            <w:tcW w:w="802"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spacing w:before="2"/>
              <w:jc w:val="center"/>
              <w:rPr>
                <w:rFonts w:ascii="宋体"/>
                <w:sz w:val="28"/>
              </w:rPr>
            </w:pPr>
          </w:p>
          <w:p>
            <w:pPr>
              <w:pStyle w:val="33"/>
              <w:spacing w:line="254" w:lineRule="auto"/>
              <w:ind w:left="181" w:leftChars="0" w:right="167" w:right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人力资源和社会保障局</w:t>
            </w:r>
          </w:p>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sz w:val="22"/>
              </w:rPr>
            </w:pPr>
            <w:r>
              <w:rPr>
                <w:sz w:val="22"/>
              </w:rPr>
              <w:t>一次性创业补贴</w:t>
            </w:r>
          </w:p>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申领</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66" w:type="dxa"/>
            <w:vMerge w:val="continue"/>
            <w:tcBorders>
              <w:left w:val="single" w:color="auto" w:sz="4" w:space="0"/>
            </w:tcBorders>
            <w:vAlign w:val="top"/>
          </w:tcPr>
          <w:p>
            <w:pPr>
              <w:pStyle w:val="33"/>
              <w:ind w:left="152" w:leftChars="0" w:right="143" w:rightChars="0"/>
              <w:jc w:val="both"/>
              <w:rPr>
                <w:sz w:val="22"/>
              </w:rPr>
            </w:pP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sz w:val="22"/>
              </w:rPr>
            </w:pPr>
            <w:r>
              <w:rPr>
                <w:sz w:val="22"/>
              </w:rPr>
              <w:t>一次性创业岗位</w:t>
            </w:r>
          </w:p>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开发补贴申领</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left="152" w:leftChars="0" w:right="143" w:rightChars="0"/>
              <w:jc w:val="center"/>
              <w:rPr>
                <w:rFonts w:hint="default" w:eastAsia="仿宋_GB2312"/>
                <w:sz w:val="22"/>
                <w:lang w:val="en-US" w:eastAsia="zh-CN"/>
              </w:rPr>
            </w:pPr>
            <w:r>
              <w:rPr>
                <w:rFonts w:hint="eastAsia"/>
                <w:sz w:val="22"/>
                <w:lang w:val="en-US" w:eastAsia="zh-CN"/>
              </w:rPr>
              <w:t>53</w:t>
            </w:r>
          </w:p>
        </w:tc>
        <w:tc>
          <w:tcPr>
            <w:tcW w:w="500" w:type="dxa"/>
            <w:vMerge w:val="restart"/>
            <w:vAlign w:val="center"/>
          </w:tcPr>
          <w:p>
            <w:pPr>
              <w:pStyle w:val="33"/>
              <w:jc w:val="center"/>
              <w:rPr>
                <w:spacing w:val="-8"/>
                <w:sz w:val="22"/>
              </w:rPr>
            </w:pPr>
          </w:p>
          <w:p>
            <w:pPr>
              <w:pStyle w:val="33"/>
              <w:jc w:val="center"/>
              <w:rPr>
                <w:spacing w:val="-8"/>
                <w:sz w:val="22"/>
              </w:rPr>
            </w:pPr>
            <w:r>
              <w:rPr>
                <w:spacing w:val="-8"/>
                <w:sz w:val="22"/>
              </w:rPr>
              <w:t>3</w:t>
            </w:r>
          </w:p>
          <w:p>
            <w:pPr>
              <w:pStyle w:val="33"/>
              <w:jc w:val="center"/>
              <w:rPr>
                <w:spacing w:val="-8"/>
                <w:sz w:val="22"/>
              </w:rPr>
            </w:pPr>
            <w:r>
              <w:rPr>
                <w:spacing w:val="-8"/>
                <w:sz w:val="22"/>
              </w:rPr>
              <w:t>企</w:t>
            </w:r>
          </w:p>
          <w:p>
            <w:pPr>
              <w:pStyle w:val="33"/>
              <w:jc w:val="center"/>
              <w:rPr>
                <w:spacing w:val="-8"/>
                <w:sz w:val="22"/>
              </w:rPr>
            </w:pPr>
            <w:r>
              <w:rPr>
                <w:spacing w:val="-8"/>
                <w:sz w:val="22"/>
              </w:rPr>
              <w:t>业</w:t>
            </w:r>
          </w:p>
          <w:p>
            <w:pPr>
              <w:pStyle w:val="33"/>
              <w:jc w:val="center"/>
              <w:rPr>
                <w:spacing w:val="-8"/>
                <w:sz w:val="22"/>
              </w:rPr>
            </w:pPr>
            <w:r>
              <w:rPr>
                <w:spacing w:val="-8"/>
                <w:sz w:val="22"/>
              </w:rPr>
              <w:t>运</w:t>
            </w:r>
          </w:p>
          <w:p>
            <w:pPr>
              <w:jc w:val="center"/>
              <w:rPr>
                <w:sz w:val="2"/>
                <w:szCs w:val="2"/>
              </w:rPr>
            </w:pPr>
            <w:r>
              <w:rPr>
                <w:sz w:val="22"/>
              </w:rPr>
              <w:t>营</w:t>
            </w:r>
          </w:p>
        </w:tc>
        <w:tc>
          <w:tcPr>
            <w:tcW w:w="733" w:type="dxa"/>
            <w:vMerge w:val="restart"/>
            <w:vAlign w:val="center"/>
          </w:tcPr>
          <w:p>
            <w:pPr>
              <w:pStyle w:val="33"/>
              <w:spacing w:before="10"/>
              <w:jc w:val="center"/>
              <w:rPr>
                <w:rFonts w:ascii="宋体"/>
                <w:sz w:val="26"/>
              </w:rPr>
            </w:pPr>
          </w:p>
          <w:p>
            <w:pPr>
              <w:pStyle w:val="33"/>
              <w:ind w:left="200"/>
              <w:jc w:val="both"/>
              <w:rPr>
                <w:sz w:val="22"/>
              </w:rPr>
            </w:pPr>
            <w:r>
              <w:rPr>
                <w:sz w:val="22"/>
              </w:rPr>
              <w:t>3.4</w:t>
            </w:r>
          </w:p>
          <w:p>
            <w:pPr>
              <w:pStyle w:val="33"/>
              <w:jc w:val="center"/>
              <w:rPr>
                <w:spacing w:val="-8"/>
                <w:sz w:val="22"/>
              </w:rPr>
            </w:pPr>
            <w:r>
              <w:rPr>
                <w:spacing w:val="-8"/>
                <w:sz w:val="22"/>
              </w:rPr>
              <w:t>扶持</w:t>
            </w:r>
          </w:p>
          <w:p>
            <w:pPr>
              <w:pStyle w:val="33"/>
              <w:jc w:val="center"/>
              <w:rPr>
                <w:rFonts w:ascii="Times New Roman"/>
                <w:sz w:val="22"/>
              </w:rPr>
            </w:pPr>
            <w:r>
              <w:rPr>
                <w:spacing w:val="-8"/>
                <w:sz w:val="22"/>
              </w:rPr>
              <w:t>补贴</w:t>
            </w: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企业申领稳岗返还</w:t>
            </w:r>
          </w:p>
        </w:tc>
        <w:tc>
          <w:tcPr>
            <w:tcW w:w="1199" w:type="dxa"/>
            <w:vAlign w:val="center"/>
          </w:tcPr>
          <w:p>
            <w:pPr>
              <w:jc w:val="center"/>
              <w:rPr>
                <w:lang w:val="en-US" w:eastAsia="zh-CN"/>
              </w:rPr>
            </w:pPr>
            <w:r>
              <w:t>公共服务</w:t>
            </w:r>
          </w:p>
        </w:tc>
        <w:tc>
          <w:tcPr>
            <w:tcW w:w="802" w:type="dxa"/>
            <w:vMerge w:val="restart"/>
            <w:vAlign w:val="center"/>
          </w:tcPr>
          <w:p>
            <w:pPr>
              <w:ind w:left="0" w:leftChars="0" w:right="0" w:rightChars="0"/>
              <w:jc w:val="center"/>
              <w:rPr>
                <w:sz w:val="22"/>
              </w:rPr>
            </w:pPr>
            <w:r>
              <w:rPr>
                <w:rFonts w:hint="eastAsia"/>
                <w:sz w:val="22"/>
                <w:lang w:val="en-US" w:eastAsia="zh-CN"/>
              </w:rPr>
              <w:t>县</w:t>
            </w:r>
            <w:r>
              <w:rPr>
                <w:sz w:val="22"/>
              </w:rPr>
              <w:t>人</w:t>
            </w:r>
          </w:p>
          <w:p>
            <w:pPr>
              <w:ind w:left="0" w:leftChars="0" w:right="0" w:rightChars="0"/>
              <w:jc w:val="center"/>
              <w:rPr>
                <w:sz w:val="22"/>
              </w:rPr>
            </w:pPr>
            <w:r>
              <w:rPr>
                <w:sz w:val="22"/>
              </w:rPr>
              <w:t>力资</w:t>
            </w:r>
          </w:p>
          <w:p>
            <w:pPr>
              <w:ind w:left="0" w:leftChars="0" w:right="0" w:rightChars="0"/>
              <w:jc w:val="center"/>
              <w:rPr>
                <w:sz w:val="22"/>
              </w:rPr>
            </w:pPr>
            <w:r>
              <w:rPr>
                <w:sz w:val="22"/>
              </w:rPr>
              <w:t>源和</w:t>
            </w:r>
          </w:p>
          <w:p>
            <w:pPr>
              <w:ind w:left="0" w:leftChars="0" w:right="0" w:rightChars="0"/>
              <w:jc w:val="center"/>
              <w:rPr>
                <w:sz w:val="22"/>
              </w:rPr>
            </w:pPr>
            <w:r>
              <w:rPr>
                <w:sz w:val="22"/>
              </w:rPr>
              <w:t>社会</w:t>
            </w:r>
          </w:p>
          <w:p>
            <w:pPr>
              <w:ind w:left="0" w:leftChars="0" w:right="0" w:rightChars="0"/>
              <w:jc w:val="center"/>
              <w:rPr>
                <w:sz w:val="22"/>
              </w:rPr>
            </w:pPr>
            <w:r>
              <w:rPr>
                <w:sz w:val="22"/>
              </w:rPr>
              <w:t>保障</w:t>
            </w:r>
          </w:p>
          <w:p>
            <w:pPr>
              <w:ind w:left="0" w:leftChars="0" w:right="0" w:rightChars="0"/>
              <w:jc w:val="center"/>
              <w:rPr>
                <w:rFonts w:ascii="仿宋_GB2312" w:hAnsi="仿宋_GB2312" w:eastAsia="仿宋_GB2312" w:cs="仿宋_GB2312"/>
                <w:sz w:val="2"/>
                <w:szCs w:val="2"/>
                <w:lang w:val="en-US" w:eastAsia="zh-CN" w:bidi="ar-SA"/>
              </w:rPr>
            </w:pPr>
            <w:r>
              <w:rPr>
                <w:sz w:val="22"/>
              </w:rPr>
              <w:t>局</w:t>
            </w:r>
          </w:p>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5" w:hRule="exact"/>
        </w:trPr>
        <w:tc>
          <w:tcPr>
            <w:tcW w:w="566" w:type="dxa"/>
            <w:vMerge w:val="restart"/>
            <w:tcBorders>
              <w:left w:val="single" w:color="auto" w:sz="4" w:space="0"/>
            </w:tcBorders>
            <w:vAlign w:val="center"/>
          </w:tcPr>
          <w:p>
            <w:pPr>
              <w:pStyle w:val="33"/>
              <w:ind w:left="152" w:leftChars="0" w:right="143" w:rightChars="0"/>
              <w:jc w:val="center"/>
              <w:rPr>
                <w:rFonts w:hint="default" w:eastAsia="仿宋_GB2312"/>
                <w:sz w:val="22"/>
                <w:lang w:val="en-US" w:eastAsia="zh-CN"/>
              </w:rPr>
            </w:pPr>
            <w:r>
              <w:rPr>
                <w:rFonts w:hint="eastAsia"/>
                <w:sz w:val="22"/>
                <w:lang w:val="en-US" w:eastAsia="zh-CN"/>
              </w:rPr>
              <w:t>54</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restart"/>
            <w:vAlign w:val="center"/>
          </w:tcPr>
          <w:p>
            <w:pPr>
              <w:pStyle w:val="33"/>
              <w:spacing w:before="157" w:line="254" w:lineRule="auto"/>
              <w:ind w:right="100" w:rightChars="0"/>
              <w:jc w:val="center"/>
              <w:rPr>
                <w:rFonts w:ascii="仿宋_GB2312" w:hAnsi="仿宋_GB2312" w:eastAsia="仿宋_GB2312" w:cs="仿宋_GB2312"/>
                <w:sz w:val="22"/>
                <w:szCs w:val="22"/>
                <w:lang w:val="en-US" w:eastAsia="zh-CN" w:bidi="ar-SA"/>
              </w:rPr>
            </w:pPr>
            <w:r>
              <w:rPr>
                <w:sz w:val="22"/>
              </w:rPr>
              <w:t>公共就业专项服务活动</w:t>
            </w:r>
          </w:p>
          <w:p>
            <w:pPr>
              <w:pStyle w:val="33"/>
              <w:ind w:right="0" w:rightChars="0"/>
              <w:jc w:val="center"/>
              <w:rPr>
                <w:sz w:val="22"/>
              </w:rPr>
            </w:pPr>
          </w:p>
        </w:tc>
        <w:tc>
          <w:tcPr>
            <w:tcW w:w="2003" w:type="dxa"/>
            <w:vAlign w:val="center"/>
          </w:tcPr>
          <w:p>
            <w:pPr>
              <w:pStyle w:val="33"/>
              <w:spacing w:before="9" w:line="254" w:lineRule="auto"/>
              <w:ind w:left="130" w:right="118"/>
              <w:jc w:val="center"/>
              <w:rPr>
                <w:rFonts w:hint="eastAsia" w:ascii="仿宋_GB2312" w:hAnsi="仿宋_GB2312" w:eastAsia="仿宋_GB2312" w:cs="仿宋_GB2312"/>
                <w:sz w:val="22"/>
                <w:szCs w:val="22"/>
                <w:lang w:val="en-US" w:eastAsia="zh-CN" w:bidi="ar-SA"/>
              </w:rPr>
            </w:pPr>
            <w:r>
              <w:rPr>
                <w:sz w:val="22"/>
              </w:rPr>
              <w:t>用人单位吸纳就业困难人员申领岗位补贴和社会保险</w:t>
            </w:r>
            <w:r>
              <w:rPr>
                <w:rFonts w:hint="eastAsia"/>
                <w:sz w:val="22"/>
                <w:lang w:val="en-US" w:eastAsia="zh-CN"/>
              </w:rPr>
              <w:t>补贴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center"/>
          </w:tcPr>
          <w:p>
            <w:pPr>
              <w:pStyle w:val="33"/>
              <w:ind w:left="152" w:leftChars="0" w:right="143"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培训机构代领职业培训补贴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center"/>
          </w:tcPr>
          <w:p>
            <w:pPr>
              <w:pStyle w:val="33"/>
              <w:ind w:left="152" w:leftChars="0" w:right="143"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培训机构代领职业技能鉴定补贴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exact"/>
        </w:trPr>
        <w:tc>
          <w:tcPr>
            <w:tcW w:w="566" w:type="dxa"/>
            <w:vMerge w:val="continue"/>
            <w:tcBorders>
              <w:left w:val="single" w:color="auto" w:sz="4" w:space="0"/>
            </w:tcBorders>
            <w:vAlign w:val="center"/>
          </w:tcPr>
          <w:p>
            <w:pPr>
              <w:pStyle w:val="33"/>
              <w:ind w:left="152" w:leftChars="0" w:right="143"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0" w:rightChars="0"/>
              <w:jc w:val="center"/>
              <w:rPr>
                <w:sz w:val="22"/>
              </w:rPr>
            </w:pPr>
          </w:p>
        </w:tc>
        <w:tc>
          <w:tcPr>
            <w:tcW w:w="2003" w:type="dxa"/>
            <w:vAlign w:val="center"/>
          </w:tcPr>
          <w:p>
            <w:pPr>
              <w:pStyle w:val="33"/>
              <w:spacing w:before="69" w:line="254" w:lineRule="auto"/>
              <w:ind w:right="118" w:rightChars="0"/>
              <w:jc w:val="center"/>
              <w:rPr>
                <w:rFonts w:ascii="仿宋_GB2312" w:hAnsi="仿宋_GB2312" w:eastAsia="仿宋_GB2312" w:cs="仿宋_GB2312"/>
                <w:sz w:val="22"/>
                <w:szCs w:val="22"/>
                <w:lang w:val="en-US" w:eastAsia="zh-CN" w:bidi="ar-SA"/>
              </w:rPr>
            </w:pPr>
            <w:r>
              <w:rPr>
                <w:sz w:val="22"/>
              </w:rPr>
              <w:t>小微企业吸纳高校毕业生社会保险补贴申领</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eastAsia" w:ascii="仿宋_GB2312" w:hAnsi="仿宋_GB2312" w:eastAsia="仿宋_GB2312" w:cs="仿宋_GB2312"/>
                <w:sz w:val="22"/>
                <w:szCs w:val="22"/>
                <w:lang w:val="en-US" w:eastAsia="zh-CN" w:bidi="ar-SA"/>
              </w:rPr>
            </w:pPr>
            <w:r>
              <w:rPr>
                <w:sz w:val="22"/>
              </w:rPr>
              <w:t>5</w:t>
            </w:r>
            <w:r>
              <w:rPr>
                <w:rFonts w:hint="eastAsia"/>
                <w:sz w:val="22"/>
                <w:lang w:val="en-US" w:eastAsia="zh-CN"/>
              </w:rPr>
              <w:t>5</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line="254" w:lineRule="auto"/>
              <w:ind w:right="119" w:rightChars="0"/>
              <w:jc w:val="center"/>
              <w:rPr>
                <w:sz w:val="22"/>
              </w:rPr>
            </w:pPr>
            <w:r>
              <w:rPr>
                <w:sz w:val="22"/>
              </w:rPr>
              <w:t>用人单位按比例安排残疾人就业情况</w:t>
            </w:r>
          </w:p>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申报</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残疾人联合会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56</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技术合同认定登记</w:t>
            </w:r>
          </w:p>
        </w:tc>
        <w:tc>
          <w:tcPr>
            <w:tcW w:w="1199" w:type="dxa"/>
            <w:vAlign w:val="center"/>
          </w:tcPr>
          <w:p>
            <w:pPr>
              <w:jc w:val="center"/>
              <w:rPr>
                <w:lang w:val="en-US" w:eastAsia="zh-CN"/>
              </w:rPr>
            </w:pPr>
            <w:r>
              <w:t>行政确认</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科技局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57</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知识产权维权援助</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市场监督</w:t>
            </w:r>
          </w:p>
          <w:p>
            <w:pPr>
              <w:jc w:val="center"/>
              <w:rPr>
                <w:rFonts w:hint="default"/>
                <w:lang w:val="en-US" w:eastAsia="zh-CN"/>
              </w:rPr>
            </w:pPr>
            <w:r>
              <w:rPr>
                <w:rFonts w:hint="eastAsia"/>
                <w:lang w:val="en-US" w:eastAsia="zh-CN"/>
              </w:rPr>
              <w:t>管理局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2"/>
              <w:jc w:val="center"/>
              <w:rPr>
                <w:rFonts w:ascii="宋体"/>
                <w:sz w:val="23"/>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58</w:t>
            </w:r>
          </w:p>
        </w:tc>
        <w:tc>
          <w:tcPr>
            <w:tcW w:w="500" w:type="dxa"/>
            <w:vMerge w:val="restart"/>
            <w:vAlign w:val="top"/>
          </w:tcPr>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ind w:left="11"/>
              <w:jc w:val="center"/>
              <w:rPr>
                <w:w w:val="99"/>
                <w:sz w:val="22"/>
              </w:rPr>
            </w:pPr>
          </w:p>
          <w:p>
            <w:pPr>
              <w:pStyle w:val="33"/>
              <w:spacing w:before="153"/>
              <w:ind w:left="200"/>
              <w:jc w:val="both"/>
              <w:rPr>
                <w:sz w:val="22"/>
              </w:rPr>
            </w:pPr>
            <w:r>
              <w:rPr>
                <w:sz w:val="22"/>
              </w:rPr>
              <w:t>4</w:t>
            </w:r>
          </w:p>
          <w:p>
            <w:pPr>
              <w:jc w:val="center"/>
              <w:rPr>
                <w:sz w:val="22"/>
              </w:rPr>
            </w:pPr>
            <w:r>
              <w:rPr>
                <w:sz w:val="22"/>
              </w:rPr>
              <w:t>投</w:t>
            </w:r>
          </w:p>
          <w:p>
            <w:pPr>
              <w:jc w:val="center"/>
              <w:rPr>
                <w:sz w:val="22"/>
              </w:rPr>
            </w:pPr>
            <w:r>
              <w:rPr>
                <w:sz w:val="22"/>
              </w:rPr>
              <w:t>资</w:t>
            </w:r>
          </w:p>
          <w:p>
            <w:pPr>
              <w:jc w:val="center"/>
              <w:rPr>
                <w:sz w:val="22"/>
              </w:rPr>
            </w:pPr>
            <w:r>
              <w:rPr>
                <w:sz w:val="22"/>
              </w:rPr>
              <w:t>建</w:t>
            </w:r>
          </w:p>
          <w:p>
            <w:pPr>
              <w:jc w:val="center"/>
              <w:rPr>
                <w:sz w:val="2"/>
                <w:szCs w:val="2"/>
              </w:rPr>
            </w:pPr>
            <w:r>
              <w:rPr>
                <w:sz w:val="22"/>
              </w:rPr>
              <w:t>设</w:t>
            </w:r>
          </w:p>
        </w:tc>
        <w:tc>
          <w:tcPr>
            <w:tcW w:w="733" w:type="dxa"/>
            <w:vMerge w:val="restart"/>
            <w:vAlign w:val="center"/>
          </w:tcPr>
          <w:p>
            <w:pPr>
              <w:pStyle w:val="33"/>
              <w:spacing w:before="153"/>
              <w:ind w:left="200"/>
              <w:jc w:val="both"/>
              <w:rPr>
                <w:sz w:val="22"/>
              </w:rPr>
            </w:pPr>
            <w:r>
              <w:rPr>
                <w:sz w:val="22"/>
              </w:rPr>
              <w:t>4.1</w:t>
            </w:r>
          </w:p>
          <w:p>
            <w:pPr>
              <w:pStyle w:val="33"/>
              <w:jc w:val="center"/>
              <w:rPr>
                <w:spacing w:val="-8"/>
                <w:sz w:val="22"/>
              </w:rPr>
            </w:pPr>
            <w:r>
              <w:rPr>
                <w:spacing w:val="-8"/>
                <w:sz w:val="22"/>
              </w:rPr>
              <w:t>投资</w:t>
            </w:r>
          </w:p>
          <w:p>
            <w:pPr>
              <w:pStyle w:val="33"/>
              <w:jc w:val="center"/>
              <w:rPr>
                <w:rFonts w:ascii="Times New Roman"/>
                <w:sz w:val="22"/>
              </w:rPr>
            </w:pPr>
            <w:r>
              <w:rPr>
                <w:spacing w:val="-8"/>
                <w:sz w:val="22"/>
              </w:rPr>
              <w:t>立项</w:t>
            </w: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企业投资项目核准</w:t>
            </w:r>
          </w:p>
        </w:tc>
        <w:tc>
          <w:tcPr>
            <w:tcW w:w="1199" w:type="dxa"/>
            <w:vAlign w:val="center"/>
          </w:tcPr>
          <w:p>
            <w:pPr>
              <w:jc w:val="center"/>
              <w:rPr>
                <w:lang w:val="en-US" w:eastAsia="zh-CN"/>
              </w:rPr>
            </w:pPr>
            <w:r>
              <w:t>行政许可</w:t>
            </w:r>
          </w:p>
        </w:tc>
        <w:tc>
          <w:tcPr>
            <w:tcW w:w="802"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spacing w:line="254" w:lineRule="auto"/>
              <w:ind w:right="164" w:rightChars="0"/>
              <w:jc w:val="center"/>
              <w:rPr>
                <w:sz w:val="22"/>
              </w:rPr>
            </w:pPr>
            <w:r>
              <w:rPr>
                <w:rFonts w:hint="eastAsia"/>
                <w:sz w:val="22"/>
                <w:lang w:val="en-US" w:eastAsia="zh-CN"/>
              </w:rPr>
              <w:t>县</w:t>
            </w:r>
            <w:r>
              <w:rPr>
                <w:sz w:val="22"/>
              </w:rPr>
              <w:t>行</w:t>
            </w:r>
          </w:p>
          <w:p>
            <w:pPr>
              <w:pStyle w:val="33"/>
              <w:spacing w:line="254" w:lineRule="auto"/>
              <w:ind w:right="164" w:rightChars="0"/>
              <w:jc w:val="center"/>
              <w:rPr>
                <w:sz w:val="22"/>
              </w:rPr>
            </w:pPr>
            <w:r>
              <w:rPr>
                <w:sz w:val="22"/>
              </w:rPr>
              <w:t>政审</w:t>
            </w:r>
          </w:p>
          <w:p>
            <w:pPr>
              <w:pStyle w:val="33"/>
              <w:spacing w:line="254" w:lineRule="auto"/>
              <w:ind w:right="164" w:rightChars="0"/>
              <w:jc w:val="center"/>
              <w:rPr>
                <w:sz w:val="22"/>
              </w:rPr>
            </w:pPr>
            <w:r>
              <w:rPr>
                <w:sz w:val="22"/>
              </w:rPr>
              <w:t>批服</w:t>
            </w:r>
          </w:p>
          <w:p>
            <w:pPr>
              <w:pStyle w:val="33"/>
              <w:spacing w:line="254" w:lineRule="auto"/>
              <w:ind w:right="164" w:rightChars="0"/>
              <w:jc w:val="center"/>
              <w:rPr>
                <w:rFonts w:ascii="仿宋_GB2312" w:hAnsi="仿宋_GB2312" w:eastAsia="仿宋_GB2312" w:cs="仿宋_GB2312"/>
                <w:sz w:val="22"/>
                <w:szCs w:val="22"/>
                <w:lang w:val="en-US" w:eastAsia="zh-CN" w:bidi="ar-SA"/>
              </w:rPr>
            </w:pPr>
            <w:r>
              <w:rPr>
                <w:sz w:val="22"/>
              </w:rPr>
              <w:t>务局</w:t>
            </w:r>
          </w:p>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县行政审批</w:t>
            </w:r>
          </w:p>
          <w:p>
            <w:pPr>
              <w:jc w:val="center"/>
              <w:rPr>
                <w:rFonts w:hint="eastAsia"/>
                <w:lang w:val="en-US" w:eastAsia="zh-CN"/>
              </w:rPr>
            </w:pPr>
            <w:r>
              <w:rPr>
                <w:rFonts w:hint="eastAsia"/>
                <w:lang w:val="en-US" w:eastAsia="zh-CN"/>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66" w:type="dxa"/>
            <w:tcBorders>
              <w:left w:val="single" w:color="auto" w:sz="4" w:space="0"/>
            </w:tcBorders>
            <w:vAlign w:val="center"/>
          </w:tcPr>
          <w:p>
            <w:pPr>
              <w:pStyle w:val="33"/>
              <w:spacing w:before="3"/>
              <w:jc w:val="center"/>
              <w:rPr>
                <w:rFonts w:ascii="宋体"/>
                <w:sz w:val="24"/>
              </w:rPr>
            </w:pPr>
          </w:p>
          <w:p>
            <w:pPr>
              <w:pStyle w:val="33"/>
              <w:spacing w:before="1"/>
              <w:ind w:left="152" w:leftChars="0" w:right="143"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59</w:t>
            </w:r>
          </w:p>
        </w:tc>
        <w:tc>
          <w:tcPr>
            <w:tcW w:w="500" w:type="dxa"/>
            <w:vMerge w:val="continue"/>
            <w:vAlign w:val="top"/>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before="1"/>
              <w:ind w:right="322" w:rightChars="0"/>
              <w:jc w:val="center"/>
              <w:rPr>
                <w:rFonts w:ascii="仿宋_GB2312" w:hAnsi="仿宋_GB2312" w:eastAsia="仿宋_GB2312" w:cs="仿宋_GB2312"/>
                <w:sz w:val="22"/>
                <w:szCs w:val="22"/>
                <w:lang w:val="en-US" w:eastAsia="zh-CN" w:bidi="ar-SA"/>
              </w:rPr>
            </w:pPr>
            <w:r>
              <w:rPr>
                <w:sz w:val="22"/>
              </w:rPr>
              <w:t>企业投资项目备案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县行政审批</w:t>
            </w:r>
          </w:p>
          <w:p>
            <w:pPr>
              <w:jc w:val="center"/>
              <w:rPr>
                <w:rFonts w:hint="eastAsia"/>
                <w:lang w:val="en-US" w:eastAsia="zh-CN"/>
              </w:rPr>
            </w:pPr>
            <w:r>
              <w:rPr>
                <w:rFonts w:hint="eastAsia"/>
                <w:lang w:val="en-US" w:eastAsia="zh-CN"/>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66" w:type="dxa"/>
            <w:tcBorders>
              <w:left w:val="single" w:color="auto" w:sz="4" w:space="0"/>
            </w:tcBorders>
            <w:vAlign w:val="center"/>
          </w:tcPr>
          <w:p>
            <w:pPr>
              <w:pStyle w:val="33"/>
              <w:spacing w:before="9"/>
              <w:jc w:val="center"/>
              <w:rPr>
                <w:rFonts w:ascii="宋体"/>
                <w:sz w:val="23"/>
              </w:rPr>
            </w:pPr>
          </w:p>
          <w:p>
            <w:pPr>
              <w:pStyle w:val="33"/>
              <w:ind w:left="152"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0</w:t>
            </w:r>
          </w:p>
        </w:tc>
        <w:tc>
          <w:tcPr>
            <w:tcW w:w="500" w:type="dxa"/>
            <w:vMerge w:val="continue"/>
            <w:vAlign w:val="top"/>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节能审查</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县行政审批</w:t>
            </w:r>
          </w:p>
          <w:p>
            <w:pPr>
              <w:jc w:val="center"/>
              <w:rPr>
                <w:rFonts w:hint="eastAsia"/>
                <w:lang w:val="en-US" w:eastAsia="zh-CN"/>
              </w:rPr>
            </w:pPr>
            <w:r>
              <w:rPr>
                <w:rFonts w:hint="eastAsia"/>
                <w:lang w:val="en-US" w:eastAsia="zh-CN"/>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exact"/>
        </w:trPr>
        <w:tc>
          <w:tcPr>
            <w:tcW w:w="566" w:type="dxa"/>
            <w:tcBorders>
              <w:left w:val="single" w:color="auto" w:sz="4" w:space="0"/>
            </w:tcBorders>
            <w:vAlign w:val="center"/>
          </w:tcPr>
          <w:p>
            <w:pPr>
              <w:pStyle w:val="33"/>
              <w:spacing w:before="11"/>
              <w:jc w:val="center"/>
              <w:rPr>
                <w:rFonts w:ascii="宋体"/>
                <w:sz w:val="24"/>
              </w:rPr>
            </w:pPr>
          </w:p>
          <w:p>
            <w:pPr>
              <w:pStyle w:val="33"/>
              <w:ind w:left="151"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1</w:t>
            </w:r>
          </w:p>
        </w:tc>
        <w:tc>
          <w:tcPr>
            <w:tcW w:w="500" w:type="dxa"/>
            <w:vMerge w:val="continue"/>
            <w:vAlign w:val="top"/>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建设项目用地预审与选址意见书</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exact"/>
        </w:trPr>
        <w:tc>
          <w:tcPr>
            <w:tcW w:w="566" w:type="dxa"/>
            <w:tcBorders>
              <w:left w:val="single" w:color="auto" w:sz="4" w:space="0"/>
            </w:tcBorders>
            <w:vAlign w:val="center"/>
          </w:tcPr>
          <w:p>
            <w:pPr>
              <w:pStyle w:val="33"/>
              <w:spacing w:before="6"/>
              <w:jc w:val="center"/>
              <w:rPr>
                <w:rFonts w:ascii="宋体"/>
                <w:sz w:val="25"/>
              </w:rPr>
            </w:pPr>
          </w:p>
          <w:p>
            <w:pPr>
              <w:pStyle w:val="33"/>
              <w:ind w:left="152"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2</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建设项目环境影响评价审批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exact"/>
        </w:trPr>
        <w:tc>
          <w:tcPr>
            <w:tcW w:w="566" w:type="dxa"/>
            <w:tcBorders>
              <w:left w:val="single" w:color="auto" w:sz="4" w:space="0"/>
            </w:tcBorders>
            <w:vAlign w:val="center"/>
          </w:tcPr>
          <w:p>
            <w:pPr>
              <w:pStyle w:val="33"/>
              <w:spacing w:before="9"/>
              <w:jc w:val="center"/>
              <w:rPr>
                <w:rFonts w:ascii="宋体"/>
                <w:sz w:val="23"/>
              </w:rPr>
            </w:pPr>
          </w:p>
          <w:p>
            <w:pPr>
              <w:pStyle w:val="33"/>
              <w:ind w:left="152"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3</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firstLine="1100" w:firstLineChars="500"/>
              <w:jc w:val="both"/>
              <w:rPr>
                <w:rFonts w:ascii="仿宋_GB2312" w:hAnsi="仿宋_GB2312" w:eastAsia="仿宋_GB2312" w:cs="仿宋_GB2312"/>
                <w:sz w:val="22"/>
                <w:szCs w:val="22"/>
                <w:lang w:val="en-US" w:eastAsia="zh-CN" w:bidi="ar-SA"/>
              </w:rPr>
            </w:pPr>
            <w:r>
              <w:rPr>
                <w:sz w:val="22"/>
              </w:rPr>
              <w:t>环境影响登记表备案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eastAsia="zh-CN"/>
              </w:rPr>
            </w:pPr>
            <w:r>
              <w:rPr>
                <w:rFonts w:hint="eastAsia"/>
                <w:lang w:val="en-US" w:eastAsia="zh-CN"/>
              </w:rPr>
              <w:t>市</w:t>
            </w:r>
            <w:r>
              <w:rPr>
                <w:rFonts w:hint="eastAsia"/>
                <w:lang w:eastAsia="zh-CN"/>
              </w:rPr>
              <w:t>生态环境局</w:t>
            </w:r>
          </w:p>
          <w:p>
            <w:pPr>
              <w:jc w:val="center"/>
              <w:rPr>
                <w:rFonts w:hint="default"/>
                <w:lang w:val="en-US" w:eastAsia="zh-CN"/>
              </w:rPr>
            </w:pPr>
            <w:r>
              <w:rPr>
                <w:rFonts w:hint="eastAsia"/>
                <w:lang w:val="en-US" w:eastAsia="zh-CN"/>
              </w:rPr>
              <w:t>郯城县分局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1"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4</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生产建设项目水土保持方案审批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eastAsia" w:ascii="仿宋_GB2312" w:hAnsi="仿宋_GB2312" w:eastAsia="仿宋_GB2312" w:cs="仿宋_GB2312"/>
                <w:sz w:val="22"/>
                <w:szCs w:val="22"/>
                <w:lang w:val="en-US" w:eastAsia="zh-CN" w:bidi="ar-SA"/>
              </w:rPr>
            </w:pPr>
            <w:r>
              <w:rPr>
                <w:sz w:val="22"/>
              </w:rPr>
              <w:t>6</w:t>
            </w:r>
            <w:r>
              <w:rPr>
                <w:rFonts w:hint="eastAsia"/>
                <w:sz w:val="22"/>
                <w:lang w:val="en-US" w:eastAsia="zh-CN"/>
              </w:rPr>
              <w:t>5</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取水许可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66</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建设项目用地以有偿方式使用国有建设用地审查</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67</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建设用地规划许可证</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1"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68</w:t>
            </w:r>
          </w:p>
        </w:tc>
        <w:tc>
          <w:tcPr>
            <w:tcW w:w="500" w:type="dxa"/>
            <w:vMerge w:val="restart"/>
            <w:vAlign w:val="top"/>
          </w:tcPr>
          <w:p>
            <w:pPr>
              <w:jc w:val="both"/>
              <w:rPr>
                <w:sz w:val="2"/>
                <w:szCs w:val="2"/>
              </w:rPr>
            </w:pPr>
          </w:p>
        </w:tc>
        <w:tc>
          <w:tcPr>
            <w:tcW w:w="733" w:type="dxa"/>
            <w:vMerge w:val="restart"/>
            <w:vAlign w:val="center"/>
          </w:tcPr>
          <w:p>
            <w:pPr>
              <w:pStyle w:val="33"/>
              <w:spacing w:line="266" w:lineRule="exact"/>
              <w:ind w:right="96"/>
              <w:jc w:val="center"/>
              <w:rPr>
                <w:sz w:val="22"/>
              </w:rPr>
            </w:pPr>
            <w:r>
              <w:rPr>
                <w:sz w:val="22"/>
              </w:rPr>
              <w:t>4.2</w:t>
            </w:r>
          </w:p>
          <w:p>
            <w:pPr>
              <w:pStyle w:val="33"/>
              <w:spacing w:before="4" w:line="266" w:lineRule="exact"/>
              <w:ind w:left="146"/>
              <w:jc w:val="both"/>
              <w:rPr>
                <w:sz w:val="22"/>
              </w:rPr>
            </w:pPr>
            <w:r>
              <w:rPr>
                <w:sz w:val="22"/>
              </w:rPr>
              <w:t>规划</w:t>
            </w:r>
          </w:p>
          <w:p>
            <w:pPr>
              <w:pStyle w:val="33"/>
              <w:jc w:val="center"/>
              <w:rPr>
                <w:rFonts w:ascii="Times New Roman"/>
                <w:sz w:val="22"/>
              </w:rPr>
            </w:pPr>
            <w:r>
              <w:rPr>
                <w:sz w:val="22"/>
              </w:rPr>
              <w:t>许可</w:t>
            </w: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结合民用建筑修建防空地下室审批</w:t>
            </w:r>
          </w:p>
        </w:tc>
        <w:tc>
          <w:tcPr>
            <w:tcW w:w="1199" w:type="dxa"/>
            <w:vAlign w:val="center"/>
          </w:tcPr>
          <w:p>
            <w:pPr>
              <w:jc w:val="center"/>
              <w:rPr>
                <w:lang w:val="en-US" w:eastAsia="zh-CN"/>
              </w:rPr>
            </w:pPr>
            <w:r>
              <w:t>行政许可</w:t>
            </w:r>
          </w:p>
        </w:tc>
        <w:tc>
          <w:tcPr>
            <w:tcW w:w="802" w:type="dxa"/>
            <w:vMerge w:val="restart"/>
            <w:vAlign w:val="center"/>
          </w:tcPr>
          <w:p>
            <w:pPr>
              <w:pStyle w:val="33"/>
              <w:jc w:val="center"/>
              <w:rPr>
                <w:rFonts w:ascii="宋体"/>
                <w:sz w:val="22"/>
              </w:rPr>
            </w:pPr>
          </w:p>
          <w:p>
            <w:pPr>
              <w:pStyle w:val="33"/>
              <w:spacing w:before="12"/>
              <w:jc w:val="center"/>
              <w:rPr>
                <w:rFonts w:ascii="宋体"/>
                <w:sz w:val="21"/>
              </w:rPr>
            </w:pPr>
          </w:p>
          <w:p>
            <w:pPr>
              <w:pStyle w:val="33"/>
              <w:spacing w:line="254" w:lineRule="auto"/>
              <w:ind w:left="182" w:leftChars="0" w:right="164"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行政审批服务局</w:t>
            </w:r>
          </w:p>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69</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防空地下室易地建设审批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5"/>
              <w:jc w:val="center"/>
              <w:rPr>
                <w:rFonts w:ascii="宋体"/>
                <w:sz w:val="17"/>
              </w:rPr>
            </w:pPr>
          </w:p>
          <w:p>
            <w:pPr>
              <w:pStyle w:val="33"/>
              <w:spacing w:before="1"/>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70</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建设工程规划许可证</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71</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建设工程规划验线</w:t>
            </w:r>
          </w:p>
        </w:tc>
        <w:tc>
          <w:tcPr>
            <w:tcW w:w="1199" w:type="dxa"/>
            <w:vAlign w:val="center"/>
          </w:tcPr>
          <w:p>
            <w:pPr>
              <w:jc w:val="center"/>
              <w:rPr>
                <w:lang w:val="en-US" w:eastAsia="zh-CN"/>
              </w:rPr>
            </w:pPr>
            <w:r>
              <w:t>行政确认</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县自然资源和</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72</w:t>
            </w:r>
          </w:p>
        </w:tc>
        <w:tc>
          <w:tcPr>
            <w:tcW w:w="500" w:type="dxa"/>
            <w:vMerge w:val="restart"/>
            <w:vAlign w:val="center"/>
          </w:tcPr>
          <w:p>
            <w:pPr>
              <w:pStyle w:val="33"/>
              <w:jc w:val="both"/>
              <w:rPr>
                <w:rFonts w:ascii="宋体"/>
                <w:sz w:val="22"/>
              </w:rPr>
            </w:pPr>
          </w:p>
          <w:p>
            <w:pPr>
              <w:pStyle w:val="33"/>
              <w:jc w:val="center"/>
              <w:rPr>
                <w:sz w:val="22"/>
              </w:rPr>
            </w:pPr>
            <w:r>
              <w:rPr>
                <w:w w:val="99"/>
                <w:sz w:val="22"/>
              </w:rPr>
              <w:t>4</w:t>
            </w:r>
          </w:p>
          <w:p>
            <w:pPr>
              <w:pStyle w:val="33"/>
              <w:spacing w:before="18" w:line="254" w:lineRule="auto"/>
              <w:ind w:left="140" w:leftChars="0" w:right="127" w:rightChars="0"/>
              <w:jc w:val="center"/>
              <w:rPr>
                <w:rFonts w:ascii="仿宋_GB2312" w:hAnsi="仿宋_GB2312" w:eastAsia="仿宋_GB2312" w:cs="仿宋_GB2312"/>
                <w:sz w:val="22"/>
                <w:szCs w:val="22"/>
                <w:lang w:val="en-US" w:eastAsia="zh-CN" w:bidi="ar-SA"/>
              </w:rPr>
            </w:pPr>
            <w:r>
              <w:rPr>
                <w:sz w:val="22"/>
              </w:rPr>
              <w:t>投资建设</w:t>
            </w:r>
          </w:p>
          <w:p>
            <w:pPr>
              <w:jc w:val="center"/>
              <w:rPr>
                <w:sz w:val="2"/>
                <w:szCs w:val="2"/>
              </w:rPr>
            </w:pPr>
          </w:p>
        </w:tc>
        <w:tc>
          <w:tcPr>
            <w:tcW w:w="733" w:type="dxa"/>
            <w:vMerge w:val="restart"/>
            <w:vAlign w:val="center"/>
          </w:tcPr>
          <w:p>
            <w:pPr>
              <w:pStyle w:val="33"/>
              <w:jc w:val="both"/>
              <w:rPr>
                <w:sz w:val="22"/>
              </w:rPr>
            </w:pPr>
          </w:p>
          <w:p>
            <w:pPr>
              <w:pStyle w:val="33"/>
              <w:ind w:left="200"/>
              <w:jc w:val="center"/>
              <w:rPr>
                <w:sz w:val="22"/>
              </w:rPr>
            </w:pPr>
          </w:p>
          <w:p>
            <w:pPr>
              <w:pStyle w:val="33"/>
              <w:jc w:val="center"/>
              <w:rPr>
                <w:sz w:val="22"/>
              </w:rPr>
            </w:pPr>
            <w:r>
              <w:rPr>
                <w:sz w:val="22"/>
              </w:rPr>
              <w:t>4.3</w:t>
            </w:r>
          </w:p>
          <w:p>
            <w:pPr>
              <w:pStyle w:val="33"/>
              <w:spacing w:before="18" w:line="254" w:lineRule="auto"/>
              <w:ind w:left="145" w:leftChars="0" w:right="132" w:rightChars="0" w:firstLine="1" w:firstLineChars="0"/>
              <w:jc w:val="center"/>
              <w:rPr>
                <w:rFonts w:ascii="仿宋_GB2312" w:hAnsi="仿宋_GB2312" w:eastAsia="仿宋_GB2312" w:cs="仿宋_GB2312"/>
                <w:sz w:val="22"/>
                <w:szCs w:val="22"/>
                <w:lang w:val="en-US" w:eastAsia="zh-CN" w:bidi="ar-SA"/>
              </w:rPr>
            </w:pPr>
            <w:r>
              <w:rPr>
                <w:spacing w:val="-8"/>
                <w:sz w:val="22"/>
              </w:rPr>
              <w:t>施工许可</w:t>
            </w:r>
          </w:p>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施工图设计文件审查</w:t>
            </w:r>
          </w:p>
        </w:tc>
        <w:tc>
          <w:tcPr>
            <w:tcW w:w="1199" w:type="dxa"/>
            <w:vAlign w:val="center"/>
          </w:tcPr>
          <w:p>
            <w:pPr>
              <w:jc w:val="center"/>
              <w:rPr>
                <w:lang w:val="en-US" w:eastAsia="zh-CN"/>
              </w:rPr>
            </w:pPr>
            <w:r>
              <w:t>其他</w:t>
            </w:r>
          </w:p>
        </w:tc>
        <w:tc>
          <w:tcPr>
            <w:tcW w:w="802" w:type="dxa"/>
            <w:vMerge w:val="restart"/>
            <w:vAlign w:val="center"/>
          </w:tcPr>
          <w:p>
            <w:pPr>
              <w:pStyle w:val="33"/>
              <w:jc w:val="both"/>
              <w:rPr>
                <w:rFonts w:ascii="宋体"/>
                <w:sz w:val="22"/>
              </w:rPr>
            </w:pPr>
          </w:p>
          <w:p>
            <w:pPr>
              <w:pStyle w:val="33"/>
              <w:spacing w:before="185" w:line="254" w:lineRule="auto"/>
              <w:ind w:left="182" w:leftChars="0" w:right="164"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行政审批服务局</w:t>
            </w:r>
          </w:p>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73</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建设工程消防设计审查</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74</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市政设施建设类审批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1"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75</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工程建设涉及城市绿地、树木审批</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3"/>
              <w:jc w:val="center"/>
              <w:rPr>
                <w:rFonts w:ascii="宋体"/>
                <w:sz w:val="17"/>
              </w:rPr>
            </w:pPr>
          </w:p>
          <w:p>
            <w:pPr>
              <w:pStyle w:val="33"/>
              <w:spacing w:before="1"/>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76</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城市建筑垃圾处置核准</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77</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城镇污水排入排水管网许可</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3" w:rightChars="0"/>
              <w:jc w:val="center"/>
              <w:rPr>
                <w:sz w:val="22"/>
              </w:rPr>
            </w:pPr>
            <w:r>
              <w:rPr>
                <w:rFonts w:hint="eastAsia"/>
                <w:sz w:val="22"/>
                <w:lang w:val="en-US" w:eastAsia="zh-CN"/>
              </w:rPr>
              <w:t>县</w:t>
            </w:r>
            <w:r>
              <w:rPr>
                <w:sz w:val="22"/>
              </w:rPr>
              <w:t>行政审批</w:t>
            </w:r>
          </w:p>
          <w:p>
            <w:pPr>
              <w:pStyle w:val="33"/>
              <w:spacing w:line="254" w:lineRule="auto"/>
              <w:ind w:right="133" w:rightChars="0"/>
              <w:jc w:val="center"/>
              <w:rPr>
                <w:rFonts w:hint="eastAsia" w:ascii="仿宋_GB2312" w:hAnsi="仿宋_GB2312" w:eastAsia="仿宋_GB2312" w:cs="仿宋_GB2312"/>
                <w:sz w:val="22"/>
                <w:szCs w:val="22"/>
                <w:lang w:val="en-US" w:eastAsia="zh-CN" w:bidi="ar-SA"/>
              </w:rPr>
            </w:pPr>
            <w:r>
              <w:rPr>
                <w:sz w:val="22"/>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78</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建筑工程施工许可证核发</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79</w:t>
            </w:r>
          </w:p>
        </w:tc>
        <w:tc>
          <w:tcPr>
            <w:tcW w:w="500" w:type="dxa"/>
            <w:vMerge w:val="continue"/>
            <w:vAlign w:val="top"/>
          </w:tcPr>
          <w:p>
            <w:pPr>
              <w:jc w:val="both"/>
              <w:rPr>
                <w:sz w:val="2"/>
                <w:szCs w:val="2"/>
              </w:rPr>
            </w:pPr>
          </w:p>
        </w:tc>
        <w:tc>
          <w:tcPr>
            <w:tcW w:w="733" w:type="dxa"/>
            <w:vMerge w:val="restart"/>
            <w:vAlign w:val="center"/>
          </w:tcPr>
          <w:p>
            <w:pPr>
              <w:pStyle w:val="33"/>
              <w:ind w:left="200"/>
              <w:jc w:val="center"/>
              <w:rPr>
                <w:sz w:val="22"/>
              </w:rPr>
            </w:pPr>
            <w:r>
              <w:rPr>
                <w:sz w:val="22"/>
              </w:rPr>
              <w:t>4.4</w:t>
            </w:r>
          </w:p>
          <w:p>
            <w:pPr>
              <w:pStyle w:val="33"/>
              <w:jc w:val="center"/>
              <w:rPr>
                <w:spacing w:val="-8"/>
                <w:sz w:val="22"/>
              </w:rPr>
            </w:pPr>
            <w:r>
              <w:rPr>
                <w:spacing w:val="-8"/>
                <w:sz w:val="22"/>
              </w:rPr>
              <w:t>竣工</w:t>
            </w:r>
          </w:p>
          <w:p>
            <w:pPr>
              <w:pStyle w:val="33"/>
              <w:jc w:val="center"/>
              <w:rPr>
                <w:rFonts w:ascii="Times New Roman"/>
                <w:sz w:val="22"/>
              </w:rPr>
            </w:pPr>
            <w:r>
              <w:rPr>
                <w:spacing w:val="-8"/>
                <w:sz w:val="22"/>
              </w:rPr>
              <w:t>验收</w:t>
            </w: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建设工程竣工规划核实</w:t>
            </w:r>
          </w:p>
        </w:tc>
        <w:tc>
          <w:tcPr>
            <w:tcW w:w="1199" w:type="dxa"/>
            <w:vAlign w:val="center"/>
          </w:tcPr>
          <w:p>
            <w:pPr>
              <w:jc w:val="center"/>
              <w:rPr>
                <w:lang w:val="en-US" w:eastAsia="zh-CN"/>
              </w:rPr>
            </w:pPr>
            <w:r>
              <w:t>行政确认</w:t>
            </w:r>
          </w:p>
        </w:tc>
        <w:tc>
          <w:tcPr>
            <w:tcW w:w="802" w:type="dxa"/>
            <w:vMerge w:val="restart"/>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jc w:val="center"/>
              <w:rPr>
                <w:rFonts w:ascii="宋体"/>
                <w:sz w:val="22"/>
              </w:rPr>
            </w:pPr>
          </w:p>
          <w:p>
            <w:pPr>
              <w:pStyle w:val="33"/>
              <w:spacing w:before="2"/>
              <w:jc w:val="center"/>
              <w:rPr>
                <w:rFonts w:ascii="宋体"/>
                <w:sz w:val="31"/>
              </w:rPr>
            </w:pPr>
          </w:p>
          <w:p>
            <w:pPr>
              <w:pStyle w:val="33"/>
              <w:spacing w:line="254" w:lineRule="auto"/>
              <w:ind w:left="183" w:leftChars="0" w:right="164" w:right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住房和城乡建设局</w:t>
            </w:r>
          </w:p>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县自然资源和</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66" w:type="dxa"/>
            <w:tcBorders>
              <w:left w:val="single" w:color="auto" w:sz="4" w:space="0"/>
            </w:tcBorders>
            <w:vAlign w:val="center"/>
          </w:tcPr>
          <w:p>
            <w:pPr>
              <w:pStyle w:val="33"/>
              <w:jc w:val="center"/>
              <w:rPr>
                <w:rFonts w:ascii="宋体"/>
                <w:sz w:val="22"/>
              </w:rPr>
            </w:pPr>
          </w:p>
          <w:p>
            <w:pPr>
              <w:pStyle w:val="33"/>
              <w:spacing w:before="177"/>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80</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before="177"/>
              <w:ind w:right="321" w:rightChars="0"/>
              <w:jc w:val="center"/>
              <w:rPr>
                <w:rFonts w:ascii="仿宋_GB2312" w:hAnsi="仿宋_GB2312" w:eastAsia="仿宋_GB2312" w:cs="仿宋_GB2312"/>
                <w:sz w:val="22"/>
                <w:szCs w:val="22"/>
                <w:lang w:val="en-US" w:eastAsia="zh-CN" w:bidi="ar-SA"/>
              </w:rPr>
            </w:pPr>
            <w:r>
              <w:rPr>
                <w:sz w:val="22"/>
              </w:rPr>
              <w:t>人防工程竣工验收备案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default"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县行政审批服务局、县人防</w:t>
            </w:r>
            <w:r>
              <w:rPr>
                <w:rFonts w:hint="eastAsia" w:cs="仿宋_GB2312"/>
                <w:sz w:val="22"/>
                <w:szCs w:val="22"/>
                <w:lang w:val="en-US" w:eastAsia="zh-CN" w:bidi="ar-SA"/>
              </w:rPr>
              <w:t>保障服务中心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81</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特殊建设工程消防验收</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县住房和城乡</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82</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其他建设工程消防验收备案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县住房和城乡</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83</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房屋建筑工程和市政基础设施工程竣工验收备案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县行政审批</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84</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1" w:rightChars="0"/>
              <w:jc w:val="center"/>
              <w:rPr>
                <w:rFonts w:ascii="仿宋_GB2312" w:hAnsi="仿宋_GB2312" w:eastAsia="仿宋_GB2312" w:cs="仿宋_GB2312"/>
                <w:sz w:val="22"/>
                <w:szCs w:val="22"/>
                <w:lang w:val="en-US" w:eastAsia="zh-CN" w:bidi="ar-SA"/>
              </w:rPr>
            </w:pPr>
            <w:r>
              <w:rPr>
                <w:sz w:val="22"/>
              </w:rPr>
              <w:t>建设工程档案验收</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县自然资源和</w:t>
            </w:r>
          </w:p>
          <w:p>
            <w:pPr>
              <w:pStyle w:val="33"/>
              <w:keepNext w:val="0"/>
              <w:keepLines w:val="0"/>
              <w:pageBreakBefore w:val="0"/>
              <w:widowControl w:val="0"/>
              <w:kinsoku/>
              <w:wordWrap/>
              <w:overflowPunct/>
              <w:topLinePunct w:val="0"/>
              <w:autoSpaceDE w:val="0"/>
              <w:autoSpaceDN w:val="0"/>
              <w:bidi w:val="0"/>
              <w:adjustRightInd/>
              <w:snapToGrid/>
              <w:spacing w:line="240" w:lineRule="exact"/>
              <w:ind w:right="133" w:rightChars="0"/>
              <w:jc w:val="center"/>
              <w:textAlignment w:val="auto"/>
              <w:rPr>
                <w:rFonts w:hint="eastAsia" w:ascii="仿宋_GB2312" w:hAnsi="仿宋_GB2312" w:eastAsia="仿宋_GB2312" w:cs="仿宋_GB2312"/>
                <w:sz w:val="22"/>
                <w:szCs w:val="22"/>
                <w:lang w:val="en-US" w:eastAsia="zh-CN" w:bidi="ar-SA"/>
              </w:rPr>
            </w:pPr>
            <w:r>
              <w:rPr>
                <w:rFonts w:hint="eastAsia" w:ascii="仿宋_GB2312" w:hAnsi="仿宋_GB2312" w:eastAsia="仿宋_GB2312" w:cs="仿宋_GB2312"/>
                <w:sz w:val="22"/>
                <w:szCs w:val="22"/>
                <w:lang w:val="en-US" w:eastAsia="zh-CN" w:bidi="ar-SA"/>
              </w:rP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85</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房地产开发项目竣工综合验收备案</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7" w:rightChars="0"/>
              <w:jc w:val="center"/>
              <w:rPr>
                <w:sz w:val="22"/>
              </w:rPr>
            </w:pPr>
            <w:r>
              <w:rPr>
                <w:rFonts w:hint="eastAsia"/>
                <w:sz w:val="22"/>
                <w:lang w:val="en-US" w:eastAsia="zh-CN"/>
              </w:rPr>
              <w:t>县</w:t>
            </w:r>
            <w:r>
              <w:rPr>
                <w:sz w:val="22"/>
              </w:rPr>
              <w:t>住房和城乡</w:t>
            </w:r>
          </w:p>
          <w:p>
            <w:pPr>
              <w:pStyle w:val="33"/>
              <w:spacing w:line="254" w:lineRule="auto"/>
              <w:ind w:right="137" w:rightChars="0"/>
              <w:jc w:val="center"/>
              <w:rPr>
                <w:rFonts w:hint="eastAsia" w:ascii="仿宋_GB2312" w:hAnsi="仿宋_GB2312" w:eastAsia="仿宋_GB2312" w:cs="仿宋_GB2312"/>
                <w:sz w:val="22"/>
                <w:szCs w:val="22"/>
                <w:lang w:val="en-US" w:eastAsia="zh-CN" w:bidi="ar-SA"/>
              </w:rPr>
            </w:pPr>
            <w:r>
              <w:rPr>
                <w:sz w:val="22"/>
              </w:rP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3"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86</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line="254" w:lineRule="auto"/>
              <w:ind w:right="119" w:rightChars="0"/>
              <w:jc w:val="center"/>
              <w:rPr>
                <w:rFonts w:ascii="仿宋_GB2312" w:hAnsi="仿宋_GB2312" w:eastAsia="仿宋_GB2312" w:cs="仿宋_GB2312"/>
                <w:sz w:val="22"/>
                <w:szCs w:val="22"/>
                <w:lang w:val="en-US" w:eastAsia="zh-CN" w:bidi="ar-SA"/>
              </w:rPr>
            </w:pPr>
            <w:r>
              <w:rPr>
                <w:sz w:val="22"/>
              </w:rPr>
              <w:t>生产建设项目水土保持设施自主验收报备</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ind w:right="0" w:rightChars="0"/>
              <w:jc w:val="center"/>
              <w:rPr>
                <w:rFonts w:hint="eastAsia" w:ascii="仿宋_GB2312" w:hAnsi="仿宋_GB2312" w:eastAsia="仿宋_GB2312" w:cs="仿宋_GB2312"/>
                <w:sz w:val="22"/>
                <w:szCs w:val="22"/>
                <w:lang w:val="en-US" w:eastAsia="zh-CN" w:bidi="ar-SA"/>
              </w:rPr>
            </w:pPr>
            <w:r>
              <w:rPr>
                <w:rFonts w:hint="eastAsia"/>
                <w:sz w:val="22"/>
                <w:lang w:val="en-US" w:eastAsia="zh-CN"/>
              </w:rPr>
              <w:t>县</w:t>
            </w:r>
            <w:r>
              <w:rPr>
                <w:sz w:val="22"/>
              </w:rPr>
              <w:t>水利局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2"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87</w:t>
            </w:r>
          </w:p>
        </w:tc>
        <w:tc>
          <w:tcPr>
            <w:tcW w:w="500" w:type="dxa"/>
            <w:vMerge w:val="restart"/>
            <w:vAlign w:val="top"/>
          </w:tcPr>
          <w:p>
            <w:pPr>
              <w:jc w:val="both"/>
              <w:rPr>
                <w:sz w:val="2"/>
                <w:szCs w:val="2"/>
              </w:rPr>
            </w:pPr>
          </w:p>
        </w:tc>
        <w:tc>
          <w:tcPr>
            <w:tcW w:w="733" w:type="dxa"/>
            <w:vMerge w:val="restart"/>
            <w:vAlign w:val="center"/>
          </w:tcPr>
          <w:p>
            <w:pPr>
              <w:pStyle w:val="33"/>
              <w:jc w:val="center"/>
              <w:rPr>
                <w:rFonts w:ascii="Times New Roman"/>
                <w:sz w:val="22"/>
              </w:rPr>
            </w:pP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供水报装</w:t>
            </w:r>
          </w:p>
        </w:tc>
        <w:tc>
          <w:tcPr>
            <w:tcW w:w="1199" w:type="dxa"/>
            <w:vAlign w:val="center"/>
          </w:tcPr>
          <w:p>
            <w:pPr>
              <w:jc w:val="center"/>
              <w:rPr>
                <w:lang w:val="en-US" w:eastAsia="zh-CN"/>
              </w:rPr>
            </w:pPr>
            <w:r>
              <w:t>其他</w:t>
            </w:r>
          </w:p>
        </w:tc>
        <w:tc>
          <w:tcPr>
            <w:tcW w:w="802" w:type="dxa"/>
            <w:vMerge w:val="restart"/>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7" w:rightChars="0"/>
              <w:jc w:val="center"/>
              <w:rPr>
                <w:sz w:val="22"/>
              </w:rPr>
            </w:pPr>
            <w:r>
              <w:rPr>
                <w:rFonts w:hint="eastAsia"/>
                <w:sz w:val="22"/>
                <w:lang w:val="en-US" w:eastAsia="zh-CN"/>
              </w:rPr>
              <w:t>县</w:t>
            </w:r>
            <w:r>
              <w:rPr>
                <w:sz w:val="22"/>
              </w:rPr>
              <w:t>住房和城乡</w:t>
            </w:r>
          </w:p>
          <w:p>
            <w:pPr>
              <w:pStyle w:val="33"/>
              <w:spacing w:line="254" w:lineRule="auto"/>
              <w:ind w:right="137" w:rightChars="0"/>
              <w:jc w:val="center"/>
              <w:rPr>
                <w:rFonts w:hint="eastAsia" w:ascii="仿宋_GB2312" w:hAnsi="仿宋_GB2312" w:eastAsia="仿宋_GB2312" w:cs="仿宋_GB2312"/>
                <w:sz w:val="22"/>
                <w:szCs w:val="22"/>
                <w:lang w:val="en-US" w:eastAsia="zh-CN" w:bidi="ar-SA"/>
              </w:rPr>
            </w:pPr>
            <w:r>
              <w:rPr>
                <w:sz w:val="22"/>
              </w:rP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2"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88</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供电报装</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7" w:rightChars="0"/>
              <w:jc w:val="center"/>
              <w:rPr>
                <w:rFonts w:hint="eastAsia" w:ascii="仿宋_GB2312" w:hAnsi="仿宋_GB2312" w:eastAsia="仿宋_GB2312" w:cs="仿宋_GB2312"/>
                <w:sz w:val="22"/>
                <w:szCs w:val="22"/>
                <w:lang w:val="en-US" w:eastAsia="zh-CN" w:bidi="ar-SA"/>
              </w:rPr>
            </w:pPr>
            <w:r>
              <w:rPr>
                <w:sz w:val="22"/>
              </w:rPr>
              <w:t>国网</w:t>
            </w:r>
            <w:r>
              <w:rPr>
                <w:rFonts w:hint="eastAsia"/>
                <w:sz w:val="22"/>
                <w:lang w:val="en-US" w:eastAsia="zh-CN"/>
              </w:rPr>
              <w:t>郯城县供电</w:t>
            </w:r>
            <w:r>
              <w:rPr>
                <w:sz w:val="22"/>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spacing w:before="10"/>
              <w:jc w:val="center"/>
              <w:rPr>
                <w:rFonts w:ascii="宋体"/>
                <w:sz w:val="28"/>
              </w:rPr>
            </w:pPr>
          </w:p>
          <w:p>
            <w:pPr>
              <w:pStyle w:val="33"/>
              <w:ind w:left="152" w:leftChars="0" w:right="142"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89</w:t>
            </w:r>
          </w:p>
        </w:tc>
        <w:tc>
          <w:tcPr>
            <w:tcW w:w="500" w:type="dxa"/>
            <w:vMerge w:val="continue"/>
            <w:vAlign w:val="top"/>
          </w:tcPr>
          <w:p>
            <w:pPr>
              <w:jc w:val="both"/>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燃气报装</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pStyle w:val="33"/>
              <w:spacing w:line="254" w:lineRule="auto"/>
              <w:ind w:right="137" w:rightChars="0"/>
              <w:jc w:val="center"/>
              <w:rPr>
                <w:sz w:val="22"/>
              </w:rPr>
            </w:pPr>
            <w:r>
              <w:rPr>
                <w:rFonts w:hint="eastAsia"/>
                <w:sz w:val="22"/>
                <w:lang w:val="en-US" w:eastAsia="zh-CN"/>
              </w:rPr>
              <w:t>县</w:t>
            </w:r>
            <w:r>
              <w:rPr>
                <w:sz w:val="22"/>
              </w:rPr>
              <w:t>住房和城乡</w:t>
            </w:r>
          </w:p>
          <w:p>
            <w:pPr>
              <w:pStyle w:val="33"/>
              <w:spacing w:line="254" w:lineRule="auto"/>
              <w:ind w:right="137" w:rightChars="0"/>
              <w:jc w:val="center"/>
              <w:rPr>
                <w:rFonts w:hint="eastAsia" w:ascii="仿宋_GB2312" w:hAnsi="仿宋_GB2312" w:eastAsia="仿宋_GB2312" w:cs="仿宋_GB2312"/>
                <w:sz w:val="22"/>
                <w:szCs w:val="22"/>
                <w:lang w:val="en-US" w:eastAsia="zh-CN" w:bidi="ar-SA"/>
              </w:rPr>
            </w:pPr>
            <w:r>
              <w:rPr>
                <w:sz w:val="22"/>
              </w:rP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2" w:rightChars="0"/>
              <w:jc w:val="both"/>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90</w:t>
            </w:r>
          </w:p>
        </w:tc>
        <w:tc>
          <w:tcPr>
            <w:tcW w:w="500" w:type="dxa"/>
            <w:vMerge w:val="restart"/>
            <w:vAlign w:val="center"/>
          </w:tcPr>
          <w:p>
            <w:pPr>
              <w:pStyle w:val="33"/>
              <w:ind w:left="200"/>
              <w:jc w:val="both"/>
              <w:rPr>
                <w:sz w:val="22"/>
              </w:rPr>
            </w:pPr>
            <w:r>
              <w:rPr>
                <w:sz w:val="22"/>
              </w:rPr>
              <w:t>4</w:t>
            </w:r>
          </w:p>
          <w:p>
            <w:pPr>
              <w:jc w:val="center"/>
              <w:rPr>
                <w:sz w:val="22"/>
              </w:rPr>
            </w:pPr>
            <w:r>
              <w:rPr>
                <w:sz w:val="22"/>
              </w:rPr>
              <w:t>投</w:t>
            </w:r>
          </w:p>
          <w:p>
            <w:pPr>
              <w:jc w:val="center"/>
              <w:rPr>
                <w:sz w:val="22"/>
              </w:rPr>
            </w:pPr>
            <w:r>
              <w:rPr>
                <w:sz w:val="22"/>
              </w:rPr>
              <w:t>资</w:t>
            </w:r>
          </w:p>
          <w:p>
            <w:pPr>
              <w:jc w:val="center"/>
              <w:rPr>
                <w:sz w:val="22"/>
              </w:rPr>
            </w:pPr>
            <w:r>
              <w:rPr>
                <w:sz w:val="22"/>
              </w:rPr>
              <w:t>建</w:t>
            </w:r>
          </w:p>
          <w:p>
            <w:pPr>
              <w:jc w:val="center"/>
              <w:rPr>
                <w:sz w:val="2"/>
                <w:szCs w:val="2"/>
              </w:rPr>
            </w:pPr>
            <w:r>
              <w:rPr>
                <w:sz w:val="22"/>
              </w:rPr>
              <w:t>设</w:t>
            </w:r>
          </w:p>
        </w:tc>
        <w:tc>
          <w:tcPr>
            <w:tcW w:w="733" w:type="dxa"/>
            <w:vMerge w:val="restart"/>
            <w:vAlign w:val="center"/>
          </w:tcPr>
          <w:p>
            <w:pPr>
              <w:pStyle w:val="33"/>
              <w:ind w:left="200"/>
              <w:jc w:val="center"/>
              <w:rPr>
                <w:sz w:val="22"/>
              </w:rPr>
            </w:pPr>
            <w:r>
              <w:rPr>
                <w:sz w:val="22"/>
              </w:rPr>
              <w:t>4.5</w:t>
            </w:r>
          </w:p>
          <w:p>
            <w:pPr>
              <w:pStyle w:val="33"/>
              <w:jc w:val="center"/>
              <w:rPr>
                <w:spacing w:val="-8"/>
                <w:sz w:val="22"/>
              </w:rPr>
            </w:pPr>
            <w:r>
              <w:rPr>
                <w:spacing w:val="-8"/>
                <w:sz w:val="22"/>
              </w:rPr>
              <w:t>市政</w:t>
            </w:r>
          </w:p>
          <w:p>
            <w:pPr>
              <w:pStyle w:val="33"/>
              <w:jc w:val="center"/>
              <w:rPr>
                <w:rFonts w:ascii="Times New Roman"/>
                <w:sz w:val="22"/>
              </w:rPr>
            </w:pPr>
            <w:r>
              <w:rPr>
                <w:spacing w:val="-8"/>
                <w:sz w:val="22"/>
              </w:rPr>
              <w:t>公用</w:t>
            </w: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热力报装</w:t>
            </w:r>
          </w:p>
        </w:tc>
        <w:tc>
          <w:tcPr>
            <w:tcW w:w="1199" w:type="dxa"/>
            <w:vAlign w:val="center"/>
          </w:tcPr>
          <w:p>
            <w:pPr>
              <w:jc w:val="center"/>
              <w:rPr>
                <w:lang w:val="en-US" w:eastAsia="zh-CN"/>
              </w:rPr>
            </w:pPr>
            <w:r>
              <w:t>其他</w:t>
            </w:r>
          </w:p>
        </w:tc>
        <w:tc>
          <w:tcPr>
            <w:tcW w:w="802" w:type="dxa"/>
            <w:vMerge w:val="restart"/>
            <w:vAlign w:val="center"/>
          </w:tcPr>
          <w:p>
            <w:pPr>
              <w:ind w:left="0" w:leftChars="0" w:right="0" w:rightChars="0"/>
              <w:jc w:val="center"/>
              <w:rPr>
                <w:rFonts w:ascii="仿宋_GB2312" w:hAnsi="仿宋_GB2312" w:eastAsia="仿宋_GB2312" w:cs="仿宋_GB2312"/>
                <w:sz w:val="2"/>
                <w:szCs w:val="2"/>
                <w:lang w:val="en-US" w:eastAsia="zh-CN" w:bidi="ar-SA"/>
              </w:rPr>
            </w:pPr>
          </w:p>
          <w:p>
            <w:pPr>
              <w:jc w:val="center"/>
              <w:rPr>
                <w:sz w:val="2"/>
                <w:szCs w:val="2"/>
              </w:rPr>
            </w:pPr>
            <w:r>
              <w:rPr>
                <w:rFonts w:hint="eastAsia"/>
                <w:sz w:val="22"/>
                <w:lang w:val="en-US" w:eastAsia="zh-CN"/>
              </w:rPr>
              <w:t>县</w:t>
            </w:r>
            <w:r>
              <w:rPr>
                <w:sz w:val="22"/>
              </w:rPr>
              <w:t>住房和城乡建设局</w:t>
            </w:r>
          </w:p>
        </w:tc>
        <w:tc>
          <w:tcPr>
            <w:tcW w:w="1752" w:type="dxa"/>
            <w:tcBorders>
              <w:right w:val="single" w:color="auto" w:sz="4" w:space="0"/>
            </w:tcBorders>
            <w:vAlign w:val="center"/>
          </w:tcPr>
          <w:p>
            <w:pPr>
              <w:jc w:val="center"/>
            </w:pPr>
            <w:r>
              <w:rPr>
                <w:rFonts w:hint="eastAsia"/>
                <w:lang w:val="en-US" w:eastAsia="zh-CN"/>
              </w:rPr>
              <w:t>县</w:t>
            </w:r>
            <w:r>
              <w:t>住房和城乡</w:t>
            </w:r>
          </w:p>
          <w:p>
            <w:pPr>
              <w:jc w:val="center"/>
              <w:rPr>
                <w:rFonts w:hint="eastAsia"/>
                <w:lang w:val="en-US" w:eastAsia="zh-CN"/>
              </w:rPr>
            </w:pPr>
            <w: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2" w:rightChars="0"/>
              <w:jc w:val="both"/>
              <w:rPr>
                <w:rFonts w:hint="default" w:ascii="仿宋_GB2312" w:hAnsi="仿宋_GB2312" w:eastAsia="仿宋_GB2312" w:cs="仿宋_GB2312"/>
                <w:sz w:val="22"/>
                <w:szCs w:val="22"/>
                <w:lang w:val="en-US" w:eastAsia="zh-CN" w:bidi="ar-SA"/>
              </w:rPr>
            </w:pPr>
            <w:r>
              <w:rPr>
                <w:rFonts w:hint="eastAsia"/>
                <w:sz w:val="22"/>
                <w:lang w:val="en-US" w:eastAsia="zh-CN"/>
              </w:rPr>
              <w:t>91</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131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通信报装</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t>中国铁塔</w:t>
            </w:r>
          </w:p>
          <w:p>
            <w:pPr>
              <w:jc w:val="center"/>
              <w:rPr>
                <w:rFonts w:hint="eastAsia"/>
                <w:lang w:val="en-US" w:eastAsia="zh-CN"/>
              </w:rPr>
            </w:pPr>
            <w:r>
              <w:rPr>
                <w:rFonts w:hint="eastAsia"/>
                <w:lang w:val="en-US" w:eastAsia="zh-CN"/>
              </w:rPr>
              <w:t>郯城</w:t>
            </w:r>
            <w:r>
              <w:t>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exact"/>
        </w:trPr>
        <w:tc>
          <w:tcPr>
            <w:tcW w:w="566" w:type="dxa"/>
            <w:tcBorders>
              <w:left w:val="single" w:color="auto" w:sz="4" w:space="0"/>
            </w:tcBorders>
            <w:vAlign w:val="top"/>
          </w:tcPr>
          <w:p>
            <w:pPr>
              <w:pStyle w:val="33"/>
              <w:spacing w:before="10"/>
              <w:jc w:val="both"/>
              <w:rPr>
                <w:rFonts w:ascii="宋体"/>
                <w:sz w:val="28"/>
              </w:rPr>
            </w:pPr>
          </w:p>
          <w:p>
            <w:pPr>
              <w:pStyle w:val="33"/>
              <w:ind w:left="152" w:leftChars="0" w:right="143" w:rightChars="0"/>
              <w:jc w:val="both"/>
              <w:rPr>
                <w:rFonts w:hint="default" w:ascii="仿宋_GB2312" w:hAnsi="仿宋_GB2312" w:eastAsia="仿宋_GB2312" w:cs="仿宋_GB2312"/>
                <w:sz w:val="22"/>
                <w:szCs w:val="22"/>
                <w:lang w:val="en-US" w:eastAsia="zh-CN" w:bidi="ar-SA"/>
              </w:rPr>
            </w:pPr>
            <w:r>
              <w:rPr>
                <w:rFonts w:hint="eastAsia"/>
                <w:sz w:val="22"/>
                <w:lang w:val="en-US" w:eastAsia="zh-CN"/>
              </w:rPr>
              <w:t>92</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1312"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排水报装</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县综合行政</w:t>
            </w:r>
          </w:p>
          <w:p>
            <w:pPr>
              <w:jc w:val="center"/>
              <w:rPr>
                <w:rFonts w:hint="eastAsia"/>
                <w:lang w:val="en-US" w:eastAsia="zh-CN"/>
              </w:rPr>
            </w:pPr>
            <w:r>
              <w:rPr>
                <w:rFonts w:hint="eastAsia"/>
                <w:lang w:val="en-US" w:eastAsia="zh-CN"/>
              </w:rPr>
              <w:t>执法</w:t>
            </w:r>
            <w: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trPr>
        <w:tc>
          <w:tcPr>
            <w:tcW w:w="566" w:type="dxa"/>
            <w:vMerge w:val="restart"/>
            <w:tcBorders>
              <w:left w:val="single" w:color="auto" w:sz="4" w:space="0"/>
            </w:tcBorders>
            <w:vAlign w:val="center"/>
          </w:tcPr>
          <w:p>
            <w:pPr>
              <w:pStyle w:val="33"/>
              <w:ind w:right="142" w:rightChars="0"/>
              <w:jc w:val="center"/>
              <w:rPr>
                <w:rFonts w:hint="default" w:eastAsia="仿宋_GB2312"/>
                <w:sz w:val="22"/>
                <w:lang w:val="en-US" w:eastAsia="zh-CN"/>
              </w:rPr>
            </w:pPr>
            <w:r>
              <w:rPr>
                <w:rFonts w:hint="eastAsia"/>
                <w:sz w:val="22"/>
                <w:lang w:val="en-US" w:eastAsia="zh-CN"/>
              </w:rPr>
              <w:t>93</w:t>
            </w:r>
          </w:p>
        </w:tc>
        <w:tc>
          <w:tcPr>
            <w:tcW w:w="500" w:type="dxa"/>
            <w:vMerge w:val="restart"/>
            <w:vAlign w:val="center"/>
          </w:tcPr>
          <w:p>
            <w:pPr>
              <w:pStyle w:val="33"/>
              <w:spacing w:before="154"/>
              <w:ind w:firstLine="220" w:firstLineChars="100"/>
              <w:jc w:val="both"/>
              <w:rPr>
                <w:sz w:val="22"/>
              </w:rPr>
            </w:pPr>
            <w:r>
              <w:rPr>
                <w:sz w:val="22"/>
              </w:rPr>
              <w:t>5</w:t>
            </w:r>
          </w:p>
          <w:p>
            <w:pPr>
              <w:pStyle w:val="33"/>
              <w:spacing w:before="19" w:line="254" w:lineRule="auto"/>
              <w:ind w:left="140" w:leftChars="0" w:right="127" w:rightChars="0"/>
              <w:jc w:val="center"/>
              <w:rPr>
                <w:rFonts w:ascii="仿宋_GB2312" w:hAnsi="仿宋_GB2312" w:eastAsia="仿宋_GB2312" w:cs="仿宋_GB2312"/>
                <w:sz w:val="22"/>
                <w:szCs w:val="22"/>
                <w:lang w:val="en-US" w:eastAsia="zh-CN" w:bidi="ar-SA"/>
              </w:rPr>
            </w:pPr>
            <w:r>
              <w:rPr>
                <w:sz w:val="22"/>
              </w:rPr>
              <w:t>企业变更</w:t>
            </w:r>
          </w:p>
        </w:tc>
        <w:tc>
          <w:tcPr>
            <w:tcW w:w="733" w:type="dxa"/>
            <w:vMerge w:val="restart"/>
            <w:vAlign w:val="center"/>
          </w:tcPr>
          <w:p>
            <w:pPr>
              <w:pStyle w:val="33"/>
              <w:jc w:val="both"/>
              <w:rPr>
                <w:rFonts w:ascii="宋体"/>
                <w:sz w:val="22"/>
              </w:rPr>
            </w:pPr>
          </w:p>
          <w:p>
            <w:pPr>
              <w:pStyle w:val="33"/>
              <w:spacing w:before="154"/>
              <w:ind w:left="200"/>
              <w:jc w:val="center"/>
              <w:rPr>
                <w:sz w:val="22"/>
              </w:rPr>
            </w:pPr>
            <w:r>
              <w:rPr>
                <w:sz w:val="22"/>
              </w:rPr>
              <w:t>5.1</w:t>
            </w:r>
          </w:p>
          <w:p>
            <w:pPr>
              <w:pStyle w:val="33"/>
              <w:spacing w:before="18" w:line="254" w:lineRule="auto"/>
              <w:ind w:left="145" w:leftChars="0" w:right="132" w:rightChars="0" w:firstLine="1" w:firstLineChars="0"/>
              <w:jc w:val="center"/>
              <w:rPr>
                <w:rFonts w:ascii="仿宋_GB2312" w:hAnsi="仿宋_GB2312" w:eastAsia="仿宋_GB2312" w:cs="仿宋_GB2312"/>
                <w:sz w:val="22"/>
                <w:szCs w:val="22"/>
                <w:lang w:val="en-US" w:eastAsia="zh-CN" w:bidi="ar-SA"/>
              </w:rPr>
            </w:pPr>
            <w:r>
              <w:rPr>
                <w:spacing w:val="-8"/>
                <w:sz w:val="22"/>
              </w:rPr>
              <w:t>企业变更</w:t>
            </w:r>
          </w:p>
        </w:tc>
        <w:tc>
          <w:tcPr>
            <w:tcW w:w="2002" w:type="dxa"/>
            <w:vMerge w:val="restart"/>
            <w:vAlign w:val="center"/>
          </w:tcPr>
          <w:p>
            <w:pPr>
              <w:pStyle w:val="33"/>
              <w:spacing w:before="9"/>
              <w:jc w:val="center"/>
              <w:rPr>
                <w:rFonts w:ascii="宋体"/>
                <w:sz w:val="16"/>
              </w:rPr>
            </w:pPr>
          </w:p>
          <w:p>
            <w:pPr>
              <w:pStyle w:val="33"/>
              <w:spacing w:line="254" w:lineRule="auto"/>
              <w:ind w:left="772" w:right="100" w:hanging="660"/>
              <w:jc w:val="center"/>
              <w:rPr>
                <w:sz w:val="22"/>
              </w:rPr>
            </w:pPr>
          </w:p>
          <w:p>
            <w:pPr>
              <w:pStyle w:val="33"/>
              <w:spacing w:line="254" w:lineRule="auto"/>
              <w:ind w:left="772" w:right="100" w:hanging="660"/>
              <w:jc w:val="center"/>
              <w:rPr>
                <w:sz w:val="22"/>
              </w:rPr>
            </w:pPr>
          </w:p>
          <w:p>
            <w:pPr>
              <w:pStyle w:val="33"/>
              <w:spacing w:line="254" w:lineRule="auto"/>
              <w:ind w:left="772" w:right="100" w:hanging="660"/>
              <w:jc w:val="center"/>
              <w:rPr>
                <w:sz w:val="22"/>
              </w:rPr>
            </w:pPr>
          </w:p>
          <w:p>
            <w:pPr>
              <w:pStyle w:val="33"/>
              <w:spacing w:line="254" w:lineRule="auto"/>
              <w:ind w:left="772" w:right="100" w:hanging="660"/>
              <w:jc w:val="center"/>
              <w:rPr>
                <w:sz w:val="22"/>
              </w:rPr>
            </w:pPr>
          </w:p>
          <w:p>
            <w:pPr>
              <w:pStyle w:val="33"/>
              <w:spacing w:line="254" w:lineRule="auto"/>
              <w:ind w:right="100" w:rightChars="0"/>
              <w:jc w:val="center"/>
              <w:rPr>
                <w:rFonts w:ascii="仿宋_GB2312" w:hAnsi="仿宋_GB2312" w:eastAsia="仿宋_GB2312" w:cs="仿宋_GB2312"/>
                <w:sz w:val="22"/>
                <w:szCs w:val="22"/>
                <w:lang w:val="en-US" w:eastAsia="zh-CN" w:bidi="ar-SA"/>
              </w:rPr>
            </w:pPr>
            <w:r>
              <w:rPr>
                <w:sz w:val="22"/>
              </w:rPr>
              <w:t>公司（企业）变更登记</w:t>
            </w:r>
          </w:p>
          <w:p>
            <w:pPr>
              <w:pStyle w:val="33"/>
              <w:ind w:right="131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公司变更登记</w:t>
            </w:r>
          </w:p>
        </w:tc>
        <w:tc>
          <w:tcPr>
            <w:tcW w:w="1199" w:type="dxa"/>
            <w:vAlign w:val="center"/>
          </w:tcPr>
          <w:p>
            <w:pPr>
              <w:jc w:val="center"/>
              <w:rPr>
                <w:lang w:val="en-US" w:eastAsia="zh-CN"/>
              </w:rPr>
            </w:pPr>
            <w:r>
              <w:t>行政许可</w:t>
            </w:r>
          </w:p>
        </w:tc>
        <w:tc>
          <w:tcPr>
            <w:tcW w:w="802" w:type="dxa"/>
            <w:vMerge w:val="restart"/>
            <w:vAlign w:val="center"/>
          </w:tcPr>
          <w:p>
            <w:pPr>
              <w:pStyle w:val="33"/>
              <w:spacing w:line="254" w:lineRule="auto"/>
              <w:ind w:left="180" w:leftChars="0" w:right="167" w:rightChars="0" w:firstLine="1" w:firstLineChars="0"/>
              <w:jc w:val="center"/>
              <w:rPr>
                <w:rFonts w:ascii="仿宋_GB2312" w:hAnsi="仿宋_GB2312" w:eastAsia="仿宋_GB2312" w:cs="仿宋_GB2312"/>
                <w:sz w:val="22"/>
                <w:szCs w:val="22"/>
                <w:lang w:val="en-US" w:eastAsia="zh-CN" w:bidi="ar-SA"/>
              </w:rPr>
            </w:pPr>
            <w:r>
              <w:rPr>
                <w:rFonts w:hint="eastAsia"/>
                <w:sz w:val="22"/>
                <w:lang w:val="en-US" w:eastAsia="zh-CN"/>
              </w:rPr>
              <w:t>县</w:t>
            </w:r>
            <w:r>
              <w:rPr>
                <w:sz w:val="22"/>
              </w:rPr>
              <w:t>行政审批服务局</w:t>
            </w:r>
          </w:p>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spacing w:line="254" w:lineRule="auto"/>
              <w:ind w:right="118" w:rightChars="0"/>
              <w:jc w:val="center"/>
              <w:rPr>
                <w:sz w:val="22"/>
              </w:rPr>
            </w:pPr>
            <w:r>
              <w:rPr>
                <w:sz w:val="22"/>
              </w:rPr>
              <w:t>非公司企业法人</w:t>
            </w:r>
          </w:p>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变更登记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ind w:right="118" w:rightChars="0"/>
              <w:jc w:val="center"/>
              <w:rPr>
                <w:rFonts w:ascii="仿宋_GB2312" w:hAnsi="仿宋_GB2312" w:eastAsia="仿宋_GB2312" w:cs="仿宋_GB2312"/>
                <w:sz w:val="22"/>
                <w:szCs w:val="22"/>
                <w:lang w:val="en-US" w:eastAsia="zh-CN" w:bidi="ar-SA"/>
              </w:rPr>
            </w:pPr>
            <w:r>
              <w:rPr>
                <w:sz w:val="22"/>
              </w:rPr>
              <w:t>分公司变更登记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spacing w:before="69" w:line="254" w:lineRule="auto"/>
              <w:ind w:right="118" w:rightChars="0"/>
              <w:jc w:val="center"/>
              <w:rPr>
                <w:rFonts w:ascii="仿宋_GB2312" w:hAnsi="仿宋_GB2312" w:eastAsia="仿宋_GB2312" w:cs="仿宋_GB2312"/>
                <w:sz w:val="22"/>
                <w:szCs w:val="22"/>
                <w:lang w:val="en-US" w:eastAsia="zh-CN" w:bidi="ar-SA"/>
              </w:rPr>
            </w:pPr>
            <w:r>
              <w:rPr>
                <w:sz w:val="22"/>
              </w:rPr>
              <w:t>营业单位、企业非法人分支机构变更登记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trPr>
        <w:tc>
          <w:tcPr>
            <w:tcW w:w="566" w:type="dxa"/>
            <w:tcBorders>
              <w:left w:val="single" w:color="auto" w:sz="4" w:space="0"/>
            </w:tcBorders>
            <w:vAlign w:val="center"/>
          </w:tcPr>
          <w:p>
            <w:pPr>
              <w:pStyle w:val="33"/>
              <w:ind w:left="152" w:leftChars="0" w:right="142" w:rightChars="0"/>
              <w:jc w:val="center"/>
              <w:rPr>
                <w:rFonts w:hint="default" w:eastAsia="仿宋_GB2312"/>
                <w:sz w:val="22"/>
                <w:lang w:val="en-US" w:eastAsia="zh-CN"/>
              </w:rPr>
            </w:pPr>
            <w:r>
              <w:rPr>
                <w:rFonts w:hint="eastAsia"/>
                <w:sz w:val="22"/>
                <w:lang w:val="en-US" w:eastAsia="zh-CN"/>
              </w:rPr>
              <w:t>94</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社会保险单位（项目）基本信息变更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66" w:type="dxa"/>
            <w:tcBorders>
              <w:left w:val="single" w:color="auto" w:sz="4" w:space="0"/>
            </w:tcBorders>
            <w:vAlign w:val="center"/>
          </w:tcPr>
          <w:p>
            <w:pPr>
              <w:pStyle w:val="33"/>
              <w:ind w:left="152" w:leftChars="0" w:right="142" w:rightChars="0"/>
              <w:jc w:val="center"/>
              <w:rPr>
                <w:rFonts w:hint="default" w:eastAsia="仿宋_GB2312"/>
                <w:sz w:val="22"/>
                <w:lang w:val="en-US" w:eastAsia="zh-CN"/>
              </w:rPr>
            </w:pPr>
            <w:r>
              <w:rPr>
                <w:rFonts w:hint="eastAsia"/>
                <w:sz w:val="22"/>
                <w:lang w:val="en-US" w:eastAsia="zh-CN"/>
              </w:rPr>
              <w:t>95</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医疗保险单位变更登记</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right="142" w:rightChars="0"/>
              <w:jc w:val="center"/>
              <w:rPr>
                <w:rFonts w:hint="default" w:eastAsia="仿宋_GB2312"/>
                <w:sz w:val="22"/>
                <w:lang w:val="en-US" w:eastAsia="zh-CN"/>
              </w:rPr>
            </w:pPr>
            <w:r>
              <w:rPr>
                <w:rFonts w:hint="eastAsia"/>
                <w:sz w:val="22"/>
                <w:lang w:val="en-US" w:eastAsia="zh-CN"/>
              </w:rPr>
              <w:t xml:space="preserve"> 96</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住房公积金单位缴存登记信息变更</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restart"/>
            <w:tcBorders>
              <w:left w:val="single" w:color="auto" w:sz="4" w:space="0"/>
            </w:tcBorders>
            <w:vAlign w:val="center"/>
          </w:tcPr>
          <w:p>
            <w:pPr>
              <w:pStyle w:val="33"/>
              <w:ind w:right="142" w:rightChars="0"/>
              <w:jc w:val="center"/>
              <w:rPr>
                <w:rFonts w:hint="default" w:eastAsia="仿宋_GB2312"/>
                <w:sz w:val="22"/>
                <w:lang w:val="en-US" w:eastAsia="zh-CN"/>
              </w:rPr>
            </w:pPr>
            <w:r>
              <w:rPr>
                <w:rFonts w:hint="eastAsia"/>
                <w:sz w:val="22"/>
                <w:lang w:val="en-US" w:eastAsia="zh-CN"/>
              </w:rPr>
              <w:t xml:space="preserve"> 97</w:t>
            </w:r>
          </w:p>
        </w:tc>
        <w:tc>
          <w:tcPr>
            <w:tcW w:w="500" w:type="dxa"/>
            <w:vMerge w:val="restart"/>
            <w:vAlign w:val="center"/>
          </w:tcPr>
          <w:p>
            <w:pPr>
              <w:pStyle w:val="33"/>
              <w:spacing w:before="3"/>
              <w:jc w:val="both"/>
              <w:rPr>
                <w:rFonts w:ascii="宋体"/>
                <w:sz w:val="16"/>
              </w:rPr>
            </w:pPr>
          </w:p>
          <w:p>
            <w:pPr>
              <w:pStyle w:val="33"/>
              <w:ind w:left="11"/>
              <w:jc w:val="center"/>
              <w:rPr>
                <w:sz w:val="22"/>
              </w:rPr>
            </w:pPr>
            <w:r>
              <w:rPr>
                <w:w w:val="99"/>
                <w:sz w:val="22"/>
              </w:rPr>
              <w:t>6</w:t>
            </w:r>
          </w:p>
          <w:p>
            <w:pPr>
              <w:pStyle w:val="33"/>
              <w:spacing w:before="18" w:line="254" w:lineRule="auto"/>
              <w:ind w:left="140" w:leftChars="0" w:right="127" w:rightChars="0"/>
              <w:jc w:val="center"/>
              <w:rPr>
                <w:rFonts w:ascii="仿宋_GB2312" w:hAnsi="仿宋_GB2312" w:eastAsia="仿宋_GB2312" w:cs="仿宋_GB2312"/>
                <w:sz w:val="22"/>
                <w:szCs w:val="22"/>
                <w:lang w:val="en-US" w:eastAsia="zh-CN" w:bidi="ar-SA"/>
              </w:rPr>
            </w:pPr>
            <w:r>
              <w:rPr>
                <w:sz w:val="22"/>
              </w:rPr>
              <w:t>企业退出</w:t>
            </w:r>
          </w:p>
        </w:tc>
        <w:tc>
          <w:tcPr>
            <w:tcW w:w="733" w:type="dxa"/>
            <w:vMerge w:val="restart"/>
            <w:vAlign w:val="center"/>
          </w:tcPr>
          <w:p>
            <w:pPr>
              <w:pStyle w:val="33"/>
              <w:spacing w:before="8"/>
              <w:jc w:val="both"/>
              <w:rPr>
                <w:rFonts w:ascii="宋体"/>
                <w:sz w:val="17"/>
              </w:rPr>
            </w:pPr>
          </w:p>
          <w:p>
            <w:pPr>
              <w:pStyle w:val="33"/>
              <w:ind w:left="200"/>
              <w:jc w:val="center"/>
              <w:rPr>
                <w:sz w:val="22"/>
              </w:rPr>
            </w:pPr>
            <w:r>
              <w:rPr>
                <w:sz w:val="22"/>
              </w:rPr>
              <w:t>6.1</w:t>
            </w:r>
          </w:p>
          <w:p>
            <w:pPr>
              <w:pStyle w:val="33"/>
              <w:spacing w:before="18" w:line="254" w:lineRule="auto"/>
              <w:ind w:left="145" w:leftChars="0" w:right="132" w:rightChars="0" w:firstLine="1" w:firstLineChars="0"/>
              <w:jc w:val="center"/>
              <w:rPr>
                <w:rFonts w:ascii="仿宋_GB2312" w:hAnsi="仿宋_GB2312" w:eastAsia="仿宋_GB2312" w:cs="仿宋_GB2312"/>
                <w:sz w:val="22"/>
                <w:szCs w:val="22"/>
                <w:lang w:val="en-US" w:eastAsia="zh-CN" w:bidi="ar-SA"/>
              </w:rPr>
            </w:pPr>
            <w:r>
              <w:rPr>
                <w:spacing w:val="-8"/>
                <w:sz w:val="22"/>
              </w:rPr>
              <w:t>企业注销</w:t>
            </w:r>
          </w:p>
        </w:tc>
        <w:tc>
          <w:tcPr>
            <w:tcW w:w="2002" w:type="dxa"/>
            <w:vMerge w:val="restart"/>
            <w:vAlign w:val="center"/>
          </w:tcPr>
          <w:p>
            <w:pPr>
              <w:pStyle w:val="33"/>
              <w:spacing w:line="254" w:lineRule="auto"/>
              <w:ind w:right="100" w:rightChars="0"/>
              <w:jc w:val="center"/>
              <w:rPr>
                <w:rFonts w:ascii="仿宋_GB2312" w:hAnsi="仿宋_GB2312" w:eastAsia="仿宋_GB2312" w:cs="仿宋_GB2312"/>
                <w:sz w:val="22"/>
                <w:szCs w:val="22"/>
                <w:lang w:val="en-US" w:eastAsia="zh-CN" w:bidi="ar-SA"/>
              </w:rPr>
            </w:pPr>
            <w:r>
              <w:rPr>
                <w:sz w:val="22"/>
              </w:rPr>
              <w:t>公司（企业）注销登记</w:t>
            </w:r>
          </w:p>
          <w:p>
            <w:pPr>
              <w:pStyle w:val="33"/>
              <w:ind w:right="131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公司（企业）注销登记</w:t>
            </w:r>
          </w:p>
        </w:tc>
        <w:tc>
          <w:tcPr>
            <w:tcW w:w="1199" w:type="dxa"/>
            <w:vAlign w:val="center"/>
          </w:tcPr>
          <w:p>
            <w:pPr>
              <w:jc w:val="center"/>
              <w:rPr>
                <w:lang w:val="en-US" w:eastAsia="zh-CN"/>
              </w:rPr>
            </w:pPr>
            <w:r>
              <w:t>行政许可</w:t>
            </w:r>
          </w:p>
        </w:tc>
        <w:tc>
          <w:tcPr>
            <w:tcW w:w="802" w:type="dxa"/>
            <w:vMerge w:val="restart"/>
            <w:vAlign w:val="center"/>
          </w:tcPr>
          <w:p>
            <w:pPr>
              <w:jc w:val="center"/>
              <w:rPr>
                <w:sz w:val="22"/>
              </w:rPr>
            </w:pPr>
            <w:r>
              <w:rPr>
                <w:rFonts w:hint="eastAsia"/>
                <w:sz w:val="22"/>
                <w:lang w:val="en-US" w:eastAsia="zh-CN"/>
              </w:rPr>
              <w:t>县</w:t>
            </w:r>
            <w:r>
              <w:rPr>
                <w:sz w:val="22"/>
              </w:rPr>
              <w:t>行</w:t>
            </w:r>
          </w:p>
          <w:p>
            <w:pPr>
              <w:jc w:val="center"/>
              <w:rPr>
                <w:sz w:val="22"/>
              </w:rPr>
            </w:pPr>
            <w:r>
              <w:rPr>
                <w:sz w:val="22"/>
              </w:rPr>
              <w:t>政审</w:t>
            </w:r>
          </w:p>
          <w:p>
            <w:pPr>
              <w:jc w:val="center"/>
              <w:rPr>
                <w:sz w:val="22"/>
              </w:rPr>
            </w:pPr>
            <w:r>
              <w:rPr>
                <w:sz w:val="22"/>
              </w:rPr>
              <w:t>批服</w:t>
            </w:r>
          </w:p>
          <w:p>
            <w:pPr>
              <w:jc w:val="center"/>
              <w:rPr>
                <w:sz w:val="2"/>
                <w:szCs w:val="2"/>
              </w:rPr>
            </w:pPr>
            <w:r>
              <w:rPr>
                <w:sz w:val="22"/>
              </w:rPr>
              <w:t>务局</w:t>
            </w: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spacing w:line="254" w:lineRule="auto"/>
              <w:ind w:right="118" w:rightChars="0"/>
              <w:jc w:val="center"/>
              <w:rPr>
                <w:rFonts w:ascii="仿宋_GB2312" w:hAnsi="仿宋_GB2312" w:eastAsia="仿宋_GB2312" w:cs="仿宋_GB2312"/>
                <w:sz w:val="22"/>
                <w:szCs w:val="22"/>
                <w:lang w:val="en-US" w:eastAsia="zh-CN" w:bidi="ar-SA"/>
              </w:rPr>
            </w:pPr>
            <w:r>
              <w:rPr>
                <w:sz w:val="22"/>
              </w:rPr>
              <w:t>非公司企业法人注销登记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分公司注销登记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exact"/>
        </w:trPr>
        <w:tc>
          <w:tcPr>
            <w:tcW w:w="566" w:type="dxa"/>
            <w:vMerge w:val="continue"/>
            <w:tcBorders>
              <w:left w:val="single" w:color="auto" w:sz="4" w:space="0"/>
            </w:tcBorders>
            <w:vAlign w:val="center"/>
          </w:tcPr>
          <w:p>
            <w:pPr>
              <w:pStyle w:val="33"/>
              <w:ind w:left="152" w:leftChars="0" w:right="142" w:rightChars="0"/>
              <w:jc w:val="center"/>
              <w:rPr>
                <w:sz w:val="22"/>
              </w:rPr>
            </w:pP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2002" w:type="dxa"/>
            <w:vMerge w:val="continue"/>
            <w:vAlign w:val="center"/>
          </w:tcPr>
          <w:p>
            <w:pPr>
              <w:pStyle w:val="33"/>
              <w:ind w:right="1310" w:rightChars="0"/>
              <w:jc w:val="center"/>
              <w:rPr>
                <w:sz w:val="22"/>
              </w:rPr>
            </w:pPr>
          </w:p>
        </w:tc>
        <w:tc>
          <w:tcPr>
            <w:tcW w:w="2003" w:type="dxa"/>
            <w:vAlign w:val="center"/>
          </w:tcPr>
          <w:p>
            <w:pPr>
              <w:pStyle w:val="33"/>
              <w:spacing w:before="69" w:line="254" w:lineRule="auto"/>
              <w:ind w:right="118" w:rightChars="0"/>
              <w:jc w:val="center"/>
              <w:rPr>
                <w:rFonts w:ascii="仿宋_GB2312" w:hAnsi="仿宋_GB2312" w:eastAsia="仿宋_GB2312" w:cs="仿宋_GB2312"/>
                <w:sz w:val="22"/>
                <w:szCs w:val="22"/>
                <w:lang w:val="en-US" w:eastAsia="zh-CN" w:bidi="ar-SA"/>
              </w:rPr>
            </w:pPr>
            <w:r>
              <w:rPr>
                <w:sz w:val="22"/>
              </w:rPr>
              <w:t>营业单位、企业非法人分支机构注销登记</w:t>
            </w:r>
          </w:p>
        </w:tc>
        <w:tc>
          <w:tcPr>
            <w:tcW w:w="1199" w:type="dxa"/>
            <w:vAlign w:val="center"/>
          </w:tcPr>
          <w:p>
            <w:pPr>
              <w:jc w:val="center"/>
              <w:rPr>
                <w:lang w:val="en-US" w:eastAsia="zh-CN"/>
              </w:rPr>
            </w:pPr>
            <w:r>
              <w:t>行政许可</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566" w:type="dxa"/>
            <w:tcBorders>
              <w:left w:val="single" w:color="auto" w:sz="4" w:space="0"/>
            </w:tcBorders>
            <w:vAlign w:val="center"/>
          </w:tcPr>
          <w:p>
            <w:pPr>
              <w:pStyle w:val="33"/>
              <w:ind w:right="0" w:rightChars="0"/>
              <w:jc w:val="center"/>
              <w:rPr>
                <w:rFonts w:hint="default" w:ascii="仿宋_GB2312" w:hAnsi="仿宋_GB2312" w:eastAsia="仿宋_GB2312" w:cs="仿宋_GB2312"/>
                <w:sz w:val="22"/>
                <w:szCs w:val="22"/>
                <w:lang w:val="en-US" w:eastAsia="zh-CN" w:bidi="ar-SA"/>
              </w:rPr>
            </w:pPr>
            <w:r>
              <w:rPr>
                <w:rFonts w:hint="eastAsia"/>
                <w:sz w:val="22"/>
                <w:lang w:val="en-US" w:eastAsia="zh-CN"/>
              </w:rPr>
              <w:t>98</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税务注销（清税申报）</w:t>
            </w:r>
          </w:p>
        </w:tc>
        <w:tc>
          <w:tcPr>
            <w:tcW w:w="1199" w:type="dxa"/>
            <w:vAlign w:val="center"/>
          </w:tcPr>
          <w:p>
            <w:pPr>
              <w:jc w:val="center"/>
            </w:pPr>
            <w:r>
              <w:t>其他行政</w:t>
            </w:r>
          </w:p>
          <w:p>
            <w:pPr>
              <w:jc w:val="center"/>
              <w:rPr>
                <w:lang w:val="en-US" w:eastAsia="zh-CN"/>
              </w:rPr>
            </w:pPr>
            <w:r>
              <w:t>权力</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right="0"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99</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企业社会保险注销登记</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right="0" w:rightChars="0"/>
              <w:jc w:val="center"/>
              <w:rPr>
                <w:rFonts w:hint="eastAsia" w:ascii="仿宋_GB2312" w:hAnsi="仿宋_GB2312" w:eastAsia="仿宋_GB2312" w:cs="仿宋_GB2312"/>
                <w:sz w:val="22"/>
                <w:szCs w:val="22"/>
                <w:lang w:val="en-US" w:eastAsia="zh-CN" w:bidi="ar-SA"/>
              </w:rPr>
            </w:pPr>
            <w:r>
              <w:rPr>
                <w:sz w:val="22"/>
              </w:rPr>
              <w:t>10</w:t>
            </w:r>
            <w:r>
              <w:rPr>
                <w:rFonts w:hint="eastAsia"/>
                <w:sz w:val="22"/>
                <w:lang w:val="en-US" w:eastAsia="zh-CN"/>
              </w:rPr>
              <w:t>0</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医疗保险单位注销登记</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right="0" w:rightChars="0"/>
              <w:jc w:val="center"/>
              <w:rPr>
                <w:rFonts w:hint="eastAsia" w:ascii="仿宋_GB2312" w:hAnsi="仿宋_GB2312" w:eastAsia="仿宋_GB2312" w:cs="仿宋_GB2312"/>
                <w:sz w:val="22"/>
                <w:szCs w:val="22"/>
                <w:lang w:val="en-US" w:eastAsia="zh-CN" w:bidi="ar-SA"/>
              </w:rPr>
            </w:pPr>
            <w:r>
              <w:rPr>
                <w:sz w:val="22"/>
              </w:rPr>
              <w:t>10</w:t>
            </w:r>
            <w:r>
              <w:rPr>
                <w:rFonts w:hint="eastAsia"/>
                <w:sz w:val="22"/>
                <w:lang w:val="en-US" w:eastAsia="zh-CN"/>
              </w:rPr>
              <w:t>1</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2" w:rightChars="0"/>
              <w:jc w:val="center"/>
              <w:rPr>
                <w:rFonts w:ascii="仿宋_GB2312" w:hAnsi="仿宋_GB2312" w:eastAsia="仿宋_GB2312" w:cs="仿宋_GB2312"/>
                <w:sz w:val="22"/>
                <w:szCs w:val="22"/>
                <w:lang w:val="en-US" w:eastAsia="zh-CN" w:bidi="ar-SA"/>
              </w:rPr>
            </w:pPr>
            <w:r>
              <w:rPr>
                <w:sz w:val="22"/>
              </w:rPr>
              <w:t>住房公积金单位缴存登记注销</w:t>
            </w:r>
          </w:p>
        </w:tc>
        <w:tc>
          <w:tcPr>
            <w:tcW w:w="1199" w:type="dxa"/>
            <w:vAlign w:val="center"/>
          </w:tcPr>
          <w:p>
            <w:pPr>
              <w:jc w:val="center"/>
              <w:rPr>
                <w:lang w:val="en-US" w:eastAsia="zh-CN"/>
              </w:rPr>
            </w:pPr>
            <w:r>
              <w:t>公共服务</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66" w:type="dxa"/>
            <w:tcBorders>
              <w:left w:val="single" w:color="auto" w:sz="4" w:space="0"/>
            </w:tcBorders>
            <w:vAlign w:val="center"/>
          </w:tcPr>
          <w:p>
            <w:pPr>
              <w:pStyle w:val="33"/>
              <w:ind w:right="0" w:rightChars="0"/>
              <w:jc w:val="center"/>
              <w:rPr>
                <w:rFonts w:hint="eastAsia" w:ascii="仿宋_GB2312" w:hAnsi="仿宋_GB2312" w:eastAsia="仿宋_GB2312" w:cs="仿宋_GB2312"/>
                <w:sz w:val="22"/>
                <w:szCs w:val="22"/>
                <w:lang w:val="en-US" w:eastAsia="zh-CN" w:bidi="ar-SA"/>
              </w:rPr>
            </w:pPr>
            <w:r>
              <w:rPr>
                <w:sz w:val="22"/>
              </w:rPr>
              <w:t>10</w:t>
            </w:r>
            <w:r>
              <w:rPr>
                <w:rFonts w:hint="eastAsia"/>
                <w:sz w:val="22"/>
                <w:lang w:val="en-US" w:eastAsia="zh-CN"/>
              </w:rPr>
              <w:t>2</w:t>
            </w:r>
          </w:p>
        </w:tc>
        <w:tc>
          <w:tcPr>
            <w:tcW w:w="500" w:type="dxa"/>
            <w:vMerge w:val="continue"/>
            <w:vAlign w:val="center"/>
          </w:tcPr>
          <w:p>
            <w:pPr>
              <w:jc w:val="center"/>
              <w:rPr>
                <w:sz w:val="2"/>
                <w:szCs w:val="2"/>
              </w:rPr>
            </w:pPr>
          </w:p>
        </w:tc>
        <w:tc>
          <w:tcPr>
            <w:tcW w:w="733" w:type="dxa"/>
            <w:vMerge w:val="continue"/>
            <w:vAlign w:val="center"/>
          </w:tcPr>
          <w:p>
            <w:pPr>
              <w:pStyle w:val="33"/>
              <w:jc w:val="center"/>
              <w:rPr>
                <w:rFonts w:ascii="Times New Roman"/>
                <w:sz w:val="22"/>
              </w:rPr>
            </w:pPr>
          </w:p>
        </w:tc>
        <w:tc>
          <w:tcPr>
            <w:tcW w:w="4005" w:type="dxa"/>
            <w:gridSpan w:val="2"/>
            <w:vAlign w:val="center"/>
          </w:tcPr>
          <w:p>
            <w:pPr>
              <w:pStyle w:val="33"/>
              <w:ind w:right="323" w:rightChars="0"/>
              <w:jc w:val="center"/>
              <w:rPr>
                <w:rFonts w:ascii="仿宋_GB2312" w:hAnsi="仿宋_GB2312" w:eastAsia="仿宋_GB2312" w:cs="仿宋_GB2312"/>
                <w:sz w:val="22"/>
                <w:szCs w:val="22"/>
                <w:lang w:val="en-US" w:eastAsia="zh-CN" w:bidi="ar-SA"/>
              </w:rPr>
            </w:pPr>
            <w:r>
              <w:rPr>
                <w:sz w:val="22"/>
              </w:rPr>
              <w:t>预约银行销户</w:t>
            </w:r>
          </w:p>
        </w:tc>
        <w:tc>
          <w:tcPr>
            <w:tcW w:w="1199" w:type="dxa"/>
            <w:vAlign w:val="center"/>
          </w:tcPr>
          <w:p>
            <w:pPr>
              <w:jc w:val="center"/>
              <w:rPr>
                <w:lang w:val="en-US" w:eastAsia="zh-CN"/>
              </w:rPr>
            </w:pPr>
            <w:r>
              <w:t>其他</w:t>
            </w:r>
          </w:p>
        </w:tc>
        <w:tc>
          <w:tcPr>
            <w:tcW w:w="802" w:type="dxa"/>
            <w:vMerge w:val="continue"/>
            <w:vAlign w:val="center"/>
          </w:tcPr>
          <w:p>
            <w:pPr>
              <w:jc w:val="center"/>
              <w:rPr>
                <w:sz w:val="2"/>
                <w:szCs w:val="2"/>
              </w:rPr>
            </w:pPr>
          </w:p>
        </w:tc>
        <w:tc>
          <w:tcPr>
            <w:tcW w:w="1752" w:type="dxa"/>
            <w:tcBorders>
              <w:right w:val="single" w:color="auto" w:sz="4" w:space="0"/>
            </w:tcBorders>
            <w:vAlign w:val="center"/>
          </w:tcPr>
          <w:p>
            <w:pPr>
              <w:jc w:val="center"/>
              <w:rPr>
                <w:rFonts w:hint="eastAsia"/>
                <w:lang w:val="en-US" w:eastAsia="zh-CN"/>
              </w:rPr>
            </w:pPr>
            <w:r>
              <w:t>中国人民银行</w:t>
            </w:r>
            <w:r>
              <w:rPr>
                <w:rFonts w:hint="eastAsia"/>
                <w:lang w:val="en-US" w:eastAsia="zh-CN"/>
              </w:rPr>
              <w:t>郯城县</w:t>
            </w:r>
            <w:r>
              <w:t>支行</w:t>
            </w:r>
          </w:p>
        </w:tc>
      </w:tr>
    </w:tbl>
    <w:p>
      <w:pPr>
        <w:spacing w:after="0" w:line="254" w:lineRule="auto"/>
        <w:jc w:val="both"/>
        <w:rPr>
          <w:sz w:val="22"/>
        </w:rPr>
        <w:sectPr>
          <w:pgSz w:w="11910" w:h="16840"/>
          <w:pgMar w:top="1580" w:right="760" w:bottom="1300" w:left="1460" w:header="0" w:footer="1043" w:gutter="0"/>
          <w:pgNumType w:fmt="decimal"/>
          <w:cols w:space="720" w:num="1"/>
        </w:sectPr>
      </w:pPr>
    </w:p>
    <w:p>
      <w:pPr>
        <w:spacing w:before="61"/>
        <w:ind w:right="0"/>
        <w:jc w:val="both"/>
        <w:rPr>
          <w:rFonts w:hint="eastAsia" w:ascii="黑体" w:eastAsia="宋体"/>
          <w:sz w:val="32"/>
          <w:szCs w:val="32"/>
          <w:lang w:eastAsia="zh-CN"/>
        </w:rPr>
      </w:pPr>
      <w:r>
        <w:rPr>
          <w:rFonts w:hint="eastAsia" w:ascii="黑体" w:eastAsia="黑体"/>
          <w:sz w:val="32"/>
          <w:szCs w:val="32"/>
        </w:rPr>
        <w:t>附件 2</w:t>
      </w:r>
    </w:p>
    <w:p>
      <w:pPr>
        <w:pStyle w:val="4"/>
        <w:spacing w:before="11"/>
        <w:jc w:val="both"/>
        <w:rPr>
          <w:rFonts w:ascii="黑体"/>
          <w:sz w:val="17"/>
        </w:rPr>
      </w:pPr>
    </w:p>
    <w:p>
      <w:pPr>
        <w:pStyle w:val="3"/>
        <w:ind w:right="796"/>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个人全生命周期事项清单及责任分工</w:t>
      </w:r>
    </w:p>
    <w:p>
      <w:pPr>
        <w:pStyle w:val="4"/>
        <w:spacing w:before="12"/>
        <w:jc w:val="both"/>
        <w:rPr>
          <w:sz w:val="19"/>
        </w:rPr>
      </w:pPr>
    </w:p>
    <w:tbl>
      <w:tblPr>
        <w:tblStyle w:val="10"/>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507"/>
        <w:gridCol w:w="701"/>
        <w:gridCol w:w="1263"/>
        <w:gridCol w:w="387"/>
        <w:gridCol w:w="83"/>
        <w:gridCol w:w="2323"/>
        <w:gridCol w:w="1163"/>
        <w:gridCol w:w="810"/>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590" w:type="dxa"/>
            <w:vAlign w:val="center"/>
          </w:tcPr>
          <w:p>
            <w:pPr>
              <w:pStyle w:val="33"/>
              <w:spacing w:line="244" w:lineRule="auto"/>
              <w:ind w:right="173"/>
              <w:jc w:val="center"/>
              <w:rPr>
                <w:rFonts w:hint="eastAsia" w:ascii="黑体" w:eastAsia="黑体"/>
                <w:sz w:val="24"/>
                <w:szCs w:val="24"/>
              </w:rPr>
            </w:pPr>
            <w:r>
              <w:rPr>
                <w:rFonts w:hint="eastAsia" w:ascii="黑体" w:eastAsia="黑体"/>
                <w:sz w:val="24"/>
                <w:szCs w:val="24"/>
              </w:rPr>
              <w:t>序号</w:t>
            </w:r>
          </w:p>
        </w:tc>
        <w:tc>
          <w:tcPr>
            <w:tcW w:w="507" w:type="dxa"/>
            <w:vAlign w:val="center"/>
          </w:tcPr>
          <w:p>
            <w:pPr>
              <w:pStyle w:val="33"/>
              <w:spacing w:line="244" w:lineRule="auto"/>
              <w:ind w:right="131"/>
              <w:jc w:val="center"/>
              <w:rPr>
                <w:rFonts w:hint="eastAsia" w:ascii="黑体" w:eastAsia="黑体"/>
                <w:sz w:val="24"/>
                <w:szCs w:val="24"/>
              </w:rPr>
            </w:pPr>
            <w:r>
              <w:rPr>
                <w:rFonts w:hint="eastAsia" w:ascii="黑体" w:eastAsia="黑体"/>
                <w:sz w:val="24"/>
                <w:szCs w:val="24"/>
              </w:rPr>
              <w:t>阶段</w:t>
            </w:r>
          </w:p>
        </w:tc>
        <w:tc>
          <w:tcPr>
            <w:tcW w:w="701" w:type="dxa"/>
            <w:vAlign w:val="center"/>
          </w:tcPr>
          <w:p>
            <w:pPr>
              <w:pStyle w:val="33"/>
              <w:ind w:right="100"/>
              <w:jc w:val="center"/>
              <w:rPr>
                <w:rFonts w:hint="eastAsia" w:ascii="黑体" w:eastAsia="黑体"/>
                <w:sz w:val="24"/>
                <w:szCs w:val="24"/>
              </w:rPr>
            </w:pPr>
            <w:r>
              <w:rPr>
                <w:rFonts w:hint="eastAsia" w:ascii="黑体" w:eastAsia="黑体"/>
                <w:sz w:val="24"/>
                <w:szCs w:val="24"/>
              </w:rPr>
              <w:t>场景</w:t>
            </w:r>
          </w:p>
        </w:tc>
        <w:tc>
          <w:tcPr>
            <w:tcW w:w="4056" w:type="dxa"/>
            <w:gridSpan w:val="4"/>
            <w:vAlign w:val="center"/>
          </w:tcPr>
          <w:p>
            <w:pPr>
              <w:pStyle w:val="33"/>
              <w:ind w:right="572"/>
              <w:jc w:val="center"/>
              <w:rPr>
                <w:rFonts w:hint="eastAsia" w:ascii="黑体" w:eastAsia="黑体"/>
                <w:sz w:val="24"/>
                <w:szCs w:val="24"/>
              </w:rPr>
            </w:pPr>
            <w:r>
              <w:rPr>
                <w:rFonts w:hint="eastAsia" w:ascii="黑体" w:eastAsia="黑体"/>
                <w:sz w:val="24"/>
                <w:szCs w:val="24"/>
              </w:rPr>
              <w:t>事项名称</w:t>
            </w:r>
          </w:p>
        </w:tc>
        <w:tc>
          <w:tcPr>
            <w:tcW w:w="1163" w:type="dxa"/>
            <w:vAlign w:val="center"/>
          </w:tcPr>
          <w:p>
            <w:pPr>
              <w:pStyle w:val="33"/>
              <w:ind w:right="212"/>
              <w:jc w:val="center"/>
              <w:rPr>
                <w:rFonts w:hint="eastAsia" w:ascii="黑体" w:eastAsia="黑体"/>
                <w:sz w:val="24"/>
                <w:szCs w:val="24"/>
              </w:rPr>
            </w:pPr>
            <w:r>
              <w:rPr>
                <w:rFonts w:hint="eastAsia" w:ascii="黑体" w:eastAsia="黑体"/>
                <w:sz w:val="24"/>
                <w:szCs w:val="24"/>
              </w:rPr>
              <w:t>事项类型</w:t>
            </w:r>
          </w:p>
        </w:tc>
        <w:tc>
          <w:tcPr>
            <w:tcW w:w="810" w:type="dxa"/>
            <w:vAlign w:val="center"/>
          </w:tcPr>
          <w:p>
            <w:pPr>
              <w:pStyle w:val="33"/>
              <w:spacing w:line="244" w:lineRule="auto"/>
              <w:ind w:right="168"/>
              <w:jc w:val="center"/>
              <w:rPr>
                <w:rFonts w:hint="eastAsia" w:ascii="黑体" w:eastAsia="黑体"/>
                <w:sz w:val="24"/>
                <w:szCs w:val="24"/>
              </w:rPr>
            </w:pPr>
            <w:r>
              <w:rPr>
                <w:rFonts w:hint="eastAsia" w:ascii="黑体" w:eastAsia="黑体"/>
                <w:sz w:val="24"/>
                <w:szCs w:val="24"/>
              </w:rPr>
              <w:t>牵头部门</w:t>
            </w:r>
          </w:p>
        </w:tc>
        <w:tc>
          <w:tcPr>
            <w:tcW w:w="1552" w:type="dxa"/>
            <w:vAlign w:val="center"/>
          </w:tcPr>
          <w:p>
            <w:pPr>
              <w:pStyle w:val="33"/>
              <w:ind w:right="224"/>
              <w:jc w:val="center"/>
              <w:rPr>
                <w:rFonts w:hint="eastAsia" w:ascii="黑体" w:eastAsia="黑体"/>
                <w:sz w:val="24"/>
                <w:szCs w:val="24"/>
              </w:rPr>
            </w:pPr>
            <w:r>
              <w:rPr>
                <w:rFonts w:hint="eastAsia" w:ascii="黑体" w:eastAsia="黑体"/>
                <w:sz w:val="24"/>
                <w:szCs w:val="24"/>
              </w:rPr>
              <w:t>协同部门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1</w:t>
            </w:r>
          </w:p>
        </w:tc>
        <w:tc>
          <w:tcPr>
            <w:tcW w:w="507"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5" w:line="440" w:lineRule="exact"/>
              <w:jc w:val="center"/>
              <w:textAlignment w:val="auto"/>
              <w:rPr>
                <w:rFonts w:ascii="宋体"/>
                <w:sz w:val="28"/>
              </w:rPr>
            </w:pPr>
          </w:p>
          <w:p>
            <w:pPr>
              <w:pStyle w:val="33"/>
              <w:keepNext w:val="0"/>
              <w:keepLines w:val="0"/>
              <w:pageBreakBefore w:val="0"/>
              <w:widowControl w:val="0"/>
              <w:kinsoku/>
              <w:wordWrap/>
              <w:overflowPunct/>
              <w:topLinePunct w:val="0"/>
              <w:autoSpaceDE w:val="0"/>
              <w:autoSpaceDN w:val="0"/>
              <w:bidi w:val="0"/>
              <w:adjustRightInd/>
              <w:snapToGrid/>
              <w:spacing w:before="37" w:line="440" w:lineRule="exact"/>
              <w:ind w:left="142" w:right="131" w:firstLine="1"/>
              <w:jc w:val="center"/>
              <w:textAlignment w:val="auto"/>
              <w:rPr>
                <w:sz w:val="22"/>
              </w:rPr>
            </w:pPr>
            <w:r>
              <w:rPr>
                <w:sz w:val="22"/>
              </w:rPr>
              <w:t>1</w:t>
            </w:r>
          </w:p>
          <w:p>
            <w:pPr>
              <w:pStyle w:val="33"/>
              <w:keepNext w:val="0"/>
              <w:keepLines w:val="0"/>
              <w:pageBreakBefore w:val="0"/>
              <w:widowControl w:val="0"/>
              <w:kinsoku/>
              <w:wordWrap/>
              <w:overflowPunct/>
              <w:topLinePunct w:val="0"/>
              <w:autoSpaceDE w:val="0"/>
              <w:autoSpaceDN w:val="0"/>
              <w:bidi w:val="0"/>
              <w:adjustRightInd/>
              <w:snapToGrid/>
              <w:spacing w:before="37" w:line="440" w:lineRule="exact"/>
              <w:ind w:left="142" w:right="131" w:firstLine="1"/>
              <w:jc w:val="center"/>
              <w:textAlignment w:val="auto"/>
              <w:rPr>
                <w:sz w:val="22"/>
              </w:rPr>
            </w:pPr>
            <w:r>
              <w:rPr>
                <w:sz w:val="22"/>
              </w:rPr>
              <w:t>出生</w:t>
            </w:r>
          </w:p>
        </w:tc>
        <w:tc>
          <w:tcPr>
            <w:tcW w:w="701"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14" w:line="440" w:lineRule="exact"/>
              <w:ind w:right="99"/>
              <w:jc w:val="center"/>
              <w:textAlignment w:val="auto"/>
              <w:rPr>
                <w:sz w:val="22"/>
              </w:rPr>
            </w:pPr>
          </w:p>
          <w:p>
            <w:pPr>
              <w:pStyle w:val="33"/>
              <w:keepNext w:val="0"/>
              <w:keepLines w:val="0"/>
              <w:pageBreakBefore w:val="0"/>
              <w:widowControl w:val="0"/>
              <w:kinsoku/>
              <w:wordWrap/>
              <w:overflowPunct/>
              <w:topLinePunct w:val="0"/>
              <w:autoSpaceDE w:val="0"/>
              <w:autoSpaceDN w:val="0"/>
              <w:bidi w:val="0"/>
              <w:adjustRightInd/>
              <w:snapToGrid/>
              <w:spacing w:before="14" w:line="440" w:lineRule="exact"/>
              <w:ind w:left="110" w:right="99"/>
              <w:jc w:val="center"/>
              <w:textAlignment w:val="auto"/>
              <w:rPr>
                <w:sz w:val="22"/>
              </w:rPr>
            </w:pPr>
            <w:r>
              <w:rPr>
                <w:sz w:val="22"/>
              </w:rPr>
              <w:t>1.1</w:t>
            </w:r>
          </w:p>
          <w:p>
            <w:pPr>
              <w:pStyle w:val="33"/>
              <w:keepNext w:val="0"/>
              <w:keepLines w:val="0"/>
              <w:pageBreakBefore w:val="0"/>
              <w:widowControl w:val="0"/>
              <w:kinsoku/>
              <w:wordWrap/>
              <w:overflowPunct/>
              <w:topLinePunct w:val="0"/>
              <w:autoSpaceDE w:val="0"/>
              <w:autoSpaceDN w:val="0"/>
              <w:bidi w:val="0"/>
              <w:adjustRightInd/>
              <w:snapToGrid/>
              <w:spacing w:before="8" w:line="440" w:lineRule="exact"/>
              <w:ind w:left="110" w:right="99"/>
              <w:jc w:val="center"/>
              <w:textAlignment w:val="auto"/>
              <w:rPr>
                <w:sz w:val="22"/>
              </w:rPr>
            </w:pPr>
            <w:r>
              <w:rPr>
                <w:sz w:val="22"/>
              </w:rPr>
              <w:t>出生</w:t>
            </w: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出生医学证明办理</w:t>
            </w:r>
          </w:p>
        </w:tc>
        <w:tc>
          <w:tcPr>
            <w:tcW w:w="1163" w:type="dxa"/>
            <w:vAlign w:val="center"/>
          </w:tcPr>
          <w:p>
            <w:pPr>
              <w:pStyle w:val="33"/>
              <w:ind w:right="0" w:rightChars="0"/>
              <w:jc w:val="center"/>
              <w:rPr>
                <w:sz w:val="22"/>
              </w:rPr>
            </w:pPr>
            <w:r>
              <w:rPr>
                <w:sz w:val="22"/>
              </w:rPr>
              <w:t>公共服务</w:t>
            </w:r>
          </w:p>
        </w:tc>
        <w:tc>
          <w:tcPr>
            <w:tcW w:w="81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11" w:line="440" w:lineRule="exact"/>
              <w:jc w:val="center"/>
              <w:textAlignment w:val="auto"/>
              <w:rPr>
                <w:rFonts w:ascii="宋体"/>
                <w:sz w:val="15"/>
              </w:rPr>
            </w:pPr>
          </w:p>
          <w:p>
            <w:pPr>
              <w:pStyle w:val="33"/>
              <w:keepNext w:val="0"/>
              <w:keepLines w:val="0"/>
              <w:pageBreakBefore w:val="0"/>
              <w:widowControl w:val="0"/>
              <w:kinsoku/>
              <w:wordWrap/>
              <w:overflowPunct/>
              <w:topLinePunct w:val="0"/>
              <w:autoSpaceDE w:val="0"/>
              <w:autoSpaceDN w:val="0"/>
              <w:bidi w:val="0"/>
              <w:adjustRightInd/>
              <w:snapToGrid/>
              <w:spacing w:line="440" w:lineRule="exact"/>
              <w:ind w:left="186" w:right="168" w:firstLine="1"/>
              <w:jc w:val="center"/>
              <w:textAlignment w:val="auto"/>
              <w:rPr>
                <w:rFonts w:hint="eastAsia" w:eastAsia="仿宋_GB2312"/>
                <w:sz w:val="22"/>
                <w:lang w:eastAsia="zh-CN"/>
              </w:rPr>
            </w:pPr>
            <w:r>
              <w:rPr>
                <w:rFonts w:hint="eastAsia"/>
                <w:sz w:val="22"/>
                <w:lang w:val="en-US" w:eastAsia="zh-CN"/>
              </w:rPr>
              <w:t>县卫健局</w:t>
            </w:r>
          </w:p>
        </w:tc>
        <w:tc>
          <w:tcPr>
            <w:tcW w:w="1552" w:type="dxa"/>
            <w:vAlign w:val="center"/>
          </w:tcPr>
          <w:p>
            <w:pPr>
              <w:jc w:val="center"/>
            </w:pPr>
            <w:r>
              <w:rPr>
                <w:rFonts w:hint="eastAsia"/>
                <w:lang w:val="en-US" w:eastAsia="zh-CN"/>
              </w:rPr>
              <w:t>县卫健局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2</w:t>
            </w:r>
          </w:p>
        </w:tc>
        <w:tc>
          <w:tcPr>
            <w:tcW w:w="50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ascii="Times New Roman"/>
                <w:sz w:val="2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预防接种证办理</w:t>
            </w:r>
          </w:p>
        </w:tc>
        <w:tc>
          <w:tcPr>
            <w:tcW w:w="1163" w:type="dxa"/>
            <w:vAlign w:val="center"/>
          </w:tcPr>
          <w:p>
            <w:pPr>
              <w:pStyle w:val="33"/>
              <w:ind w:right="0" w:rightChars="0"/>
              <w:jc w:val="center"/>
              <w:rPr>
                <w:sz w:val="22"/>
              </w:rPr>
            </w:pPr>
            <w:r>
              <w:rPr>
                <w:sz w:val="22"/>
              </w:rPr>
              <w:t>公共服务</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县卫健局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3</w:t>
            </w:r>
          </w:p>
        </w:tc>
        <w:tc>
          <w:tcPr>
            <w:tcW w:w="50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ascii="Times New Roman"/>
                <w:sz w:val="2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户口登记（出生登记）</w:t>
            </w:r>
          </w:p>
        </w:tc>
        <w:tc>
          <w:tcPr>
            <w:tcW w:w="1163" w:type="dxa"/>
            <w:vAlign w:val="center"/>
          </w:tcPr>
          <w:p>
            <w:pPr>
              <w:pStyle w:val="33"/>
              <w:ind w:right="0" w:rightChars="0"/>
              <w:jc w:val="center"/>
              <w:rPr>
                <w:sz w:val="22"/>
              </w:rPr>
            </w:pPr>
            <w:r>
              <w:rPr>
                <w:sz w:val="22"/>
              </w:rPr>
              <w:t>行政确认</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4</w:t>
            </w:r>
          </w:p>
        </w:tc>
        <w:tc>
          <w:tcPr>
            <w:tcW w:w="50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before="8" w:line="440" w:lineRule="exact"/>
              <w:ind w:left="110" w:right="99"/>
              <w:jc w:val="center"/>
              <w:textAlignment w:val="auto"/>
              <w:rPr>
                <w:sz w:val="2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城乡居民医疗保险参保登记</w:t>
            </w:r>
          </w:p>
        </w:tc>
        <w:tc>
          <w:tcPr>
            <w:tcW w:w="1163" w:type="dxa"/>
            <w:vAlign w:val="center"/>
          </w:tcPr>
          <w:p>
            <w:pPr>
              <w:pStyle w:val="33"/>
              <w:ind w:right="0" w:rightChars="0"/>
              <w:jc w:val="center"/>
              <w:rPr>
                <w:sz w:val="22"/>
              </w:rPr>
            </w:pPr>
            <w:r>
              <w:rPr>
                <w:sz w:val="22"/>
              </w:rPr>
              <w:t>公共服务</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5</w:t>
            </w:r>
          </w:p>
        </w:tc>
        <w:tc>
          <w:tcPr>
            <w:tcW w:w="50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ascii="Times New Roman"/>
                <w:sz w:val="2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社会保障卡服务（社会保障卡申领）</w:t>
            </w:r>
          </w:p>
        </w:tc>
        <w:tc>
          <w:tcPr>
            <w:tcW w:w="1163" w:type="dxa"/>
            <w:vAlign w:val="center"/>
          </w:tcPr>
          <w:p>
            <w:pPr>
              <w:pStyle w:val="33"/>
              <w:ind w:right="0" w:rightChars="0"/>
              <w:jc w:val="center"/>
              <w:rPr>
                <w:sz w:val="22"/>
              </w:rPr>
            </w:pPr>
            <w:r>
              <w:rPr>
                <w:sz w:val="22"/>
              </w:rPr>
              <w:t>公共服务</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w:t>
            </w:r>
            <w:r>
              <w:t>人力资源</w:t>
            </w:r>
          </w:p>
          <w:p>
            <w:pPr>
              <w:jc w:val="center"/>
            </w:pPr>
            <w:r>
              <w:t>和社会保障局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6</w:t>
            </w:r>
          </w:p>
        </w:tc>
        <w:tc>
          <w:tcPr>
            <w:tcW w:w="50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ascii="Times New Roman"/>
                <w:sz w:val="2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居民身份证签发</w:t>
            </w:r>
          </w:p>
        </w:tc>
        <w:tc>
          <w:tcPr>
            <w:tcW w:w="1163" w:type="dxa"/>
            <w:vAlign w:val="center"/>
          </w:tcPr>
          <w:p>
            <w:pPr>
              <w:pStyle w:val="33"/>
              <w:ind w:right="0" w:rightChars="0"/>
              <w:jc w:val="center"/>
              <w:rPr>
                <w:sz w:val="22"/>
              </w:rPr>
            </w:pPr>
            <w:r>
              <w:rPr>
                <w:sz w:val="22"/>
              </w:rPr>
              <w:t>行政确认</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7</w:t>
            </w:r>
          </w:p>
        </w:tc>
        <w:tc>
          <w:tcPr>
            <w:tcW w:w="507"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3" w:line="440" w:lineRule="exact"/>
              <w:jc w:val="center"/>
              <w:textAlignment w:val="auto"/>
              <w:rPr>
                <w:rFonts w:ascii="宋体"/>
                <w:sz w:val="16"/>
              </w:rPr>
            </w:pPr>
          </w:p>
          <w:p>
            <w:pPr>
              <w:pStyle w:val="33"/>
              <w:keepNext w:val="0"/>
              <w:keepLines w:val="0"/>
              <w:pageBreakBefore w:val="0"/>
              <w:widowControl w:val="0"/>
              <w:kinsoku/>
              <w:wordWrap/>
              <w:overflowPunct/>
              <w:topLinePunct w:val="0"/>
              <w:autoSpaceDE w:val="0"/>
              <w:autoSpaceDN w:val="0"/>
              <w:bidi w:val="0"/>
              <w:adjustRightInd/>
              <w:snapToGrid/>
              <w:spacing w:before="38" w:line="440" w:lineRule="exact"/>
              <w:ind w:left="142" w:right="131" w:firstLine="1"/>
              <w:jc w:val="center"/>
              <w:textAlignment w:val="auto"/>
              <w:rPr>
                <w:sz w:val="22"/>
              </w:rPr>
            </w:pPr>
            <w:r>
              <w:rPr>
                <w:sz w:val="22"/>
              </w:rPr>
              <w:t>2</w:t>
            </w:r>
          </w:p>
          <w:p>
            <w:pPr>
              <w:pStyle w:val="33"/>
              <w:keepNext w:val="0"/>
              <w:keepLines w:val="0"/>
              <w:pageBreakBefore w:val="0"/>
              <w:widowControl w:val="0"/>
              <w:kinsoku/>
              <w:wordWrap/>
              <w:overflowPunct/>
              <w:topLinePunct w:val="0"/>
              <w:autoSpaceDE w:val="0"/>
              <w:autoSpaceDN w:val="0"/>
              <w:bidi w:val="0"/>
              <w:adjustRightInd/>
              <w:snapToGrid/>
              <w:spacing w:before="38" w:line="440" w:lineRule="exact"/>
              <w:ind w:left="142" w:right="131" w:firstLine="1"/>
              <w:jc w:val="center"/>
              <w:textAlignment w:val="auto"/>
              <w:rPr>
                <w:sz w:val="22"/>
              </w:rPr>
            </w:pPr>
            <w:r>
              <w:rPr>
                <w:sz w:val="22"/>
              </w:rPr>
              <w:t>教育</w:t>
            </w:r>
          </w:p>
        </w:tc>
        <w:tc>
          <w:tcPr>
            <w:tcW w:w="701"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3" w:line="440" w:lineRule="exact"/>
              <w:jc w:val="center"/>
              <w:textAlignment w:val="auto"/>
              <w:rPr>
                <w:rFonts w:ascii="宋体"/>
                <w:sz w:val="19"/>
              </w:rPr>
            </w:pPr>
          </w:p>
          <w:p>
            <w:pPr>
              <w:pStyle w:val="33"/>
              <w:keepNext w:val="0"/>
              <w:keepLines w:val="0"/>
              <w:pageBreakBefore w:val="0"/>
              <w:widowControl w:val="0"/>
              <w:kinsoku/>
              <w:wordWrap/>
              <w:overflowPunct/>
              <w:topLinePunct w:val="0"/>
              <w:autoSpaceDE w:val="0"/>
              <w:autoSpaceDN w:val="0"/>
              <w:bidi w:val="0"/>
              <w:adjustRightInd/>
              <w:snapToGrid/>
              <w:spacing w:before="1" w:line="440" w:lineRule="exact"/>
              <w:ind w:left="185"/>
              <w:jc w:val="center"/>
              <w:textAlignment w:val="auto"/>
              <w:rPr>
                <w:sz w:val="22"/>
              </w:rPr>
            </w:pPr>
            <w:r>
              <w:rPr>
                <w:sz w:val="22"/>
              </w:rPr>
              <w:t>2.1</w:t>
            </w:r>
          </w:p>
          <w:p>
            <w:pPr>
              <w:pStyle w:val="33"/>
              <w:keepNext w:val="0"/>
              <w:keepLines w:val="0"/>
              <w:pageBreakBefore w:val="0"/>
              <w:widowControl w:val="0"/>
              <w:kinsoku/>
              <w:wordWrap/>
              <w:overflowPunct/>
              <w:topLinePunct w:val="0"/>
              <w:autoSpaceDE w:val="0"/>
              <w:autoSpaceDN w:val="0"/>
              <w:bidi w:val="0"/>
              <w:adjustRightInd/>
              <w:snapToGrid/>
              <w:spacing w:before="37" w:line="440" w:lineRule="exact"/>
              <w:ind w:left="130"/>
              <w:jc w:val="center"/>
              <w:textAlignment w:val="auto"/>
              <w:rPr>
                <w:sz w:val="22"/>
              </w:rPr>
            </w:pPr>
            <w:r>
              <w:rPr>
                <w:sz w:val="22"/>
              </w:rPr>
              <w:t>入学</w:t>
            </w: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学前教育入学报名</w:t>
            </w:r>
          </w:p>
        </w:tc>
        <w:tc>
          <w:tcPr>
            <w:tcW w:w="1163" w:type="dxa"/>
            <w:vAlign w:val="center"/>
          </w:tcPr>
          <w:p>
            <w:pPr>
              <w:pStyle w:val="33"/>
              <w:ind w:right="0" w:rightChars="0"/>
              <w:jc w:val="center"/>
              <w:rPr>
                <w:sz w:val="22"/>
              </w:rPr>
            </w:pPr>
            <w:r>
              <w:rPr>
                <w:sz w:val="22"/>
              </w:rPr>
              <w:t>其他</w:t>
            </w:r>
          </w:p>
        </w:tc>
        <w:tc>
          <w:tcPr>
            <w:tcW w:w="81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before="1" w:line="440" w:lineRule="exact"/>
              <w:ind w:right="168"/>
              <w:jc w:val="center"/>
              <w:textAlignment w:val="auto"/>
              <w:rPr>
                <w:rFonts w:hint="eastAsia"/>
                <w:sz w:val="22"/>
                <w:lang w:val="en-US" w:eastAsia="zh-CN"/>
              </w:rPr>
            </w:pPr>
            <w:r>
              <w:rPr>
                <w:rFonts w:hint="eastAsia"/>
                <w:sz w:val="22"/>
                <w:lang w:val="en-US" w:eastAsia="zh-CN"/>
              </w:rPr>
              <w:t>县教</w:t>
            </w:r>
          </w:p>
          <w:p>
            <w:pPr>
              <w:pStyle w:val="33"/>
              <w:keepNext w:val="0"/>
              <w:keepLines w:val="0"/>
              <w:pageBreakBefore w:val="0"/>
              <w:widowControl w:val="0"/>
              <w:kinsoku/>
              <w:wordWrap/>
              <w:overflowPunct/>
              <w:topLinePunct w:val="0"/>
              <w:autoSpaceDE w:val="0"/>
              <w:autoSpaceDN w:val="0"/>
              <w:bidi w:val="0"/>
              <w:adjustRightInd/>
              <w:snapToGrid/>
              <w:spacing w:before="1" w:line="440" w:lineRule="exact"/>
              <w:ind w:right="168"/>
              <w:jc w:val="center"/>
              <w:textAlignment w:val="auto"/>
              <w:rPr>
                <w:sz w:val="22"/>
              </w:rPr>
            </w:pPr>
            <w:r>
              <w:rPr>
                <w:rFonts w:hint="eastAsia"/>
                <w:sz w:val="22"/>
                <w:lang w:val="en-US" w:eastAsia="zh-CN"/>
              </w:rPr>
              <w:t>体局</w:t>
            </w:r>
          </w:p>
        </w:tc>
        <w:tc>
          <w:tcPr>
            <w:tcW w:w="1552" w:type="dxa"/>
            <w:vAlign w:val="center"/>
          </w:tcPr>
          <w:p>
            <w:pPr>
              <w:jc w:val="cente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义务教育入学报名</w:t>
            </w:r>
          </w:p>
        </w:tc>
        <w:tc>
          <w:tcPr>
            <w:tcW w:w="1163" w:type="dxa"/>
            <w:vAlign w:val="center"/>
          </w:tcPr>
          <w:p>
            <w:pPr>
              <w:pStyle w:val="33"/>
              <w:ind w:right="0" w:rightChars="0"/>
              <w:jc w:val="center"/>
              <w:rPr>
                <w:sz w:val="22"/>
              </w:rPr>
            </w:pPr>
            <w:r>
              <w:rPr>
                <w:sz w:val="22"/>
              </w:rPr>
              <w:t>其他</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高中教育入学报名</w:t>
            </w:r>
          </w:p>
        </w:tc>
        <w:tc>
          <w:tcPr>
            <w:tcW w:w="1163" w:type="dxa"/>
            <w:vAlign w:val="center"/>
          </w:tcPr>
          <w:p>
            <w:pPr>
              <w:pStyle w:val="33"/>
              <w:ind w:right="0" w:rightChars="0"/>
              <w:jc w:val="center"/>
              <w:rPr>
                <w:sz w:val="22"/>
              </w:rPr>
            </w:pPr>
            <w:r>
              <w:rPr>
                <w:sz w:val="22"/>
              </w:rPr>
              <w:t>其他</w:t>
            </w:r>
          </w:p>
        </w:tc>
        <w:tc>
          <w:tcPr>
            <w:tcW w:w="810"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sz w:val="22"/>
              </w:rPr>
            </w:pPr>
            <w:r>
              <w:rPr>
                <w:sz w:val="22"/>
              </w:rPr>
              <w:t>10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573"/>
              <w:jc w:val="center"/>
              <w:textAlignment w:val="auto"/>
              <w:rPr>
                <w:sz w:val="22"/>
              </w:rPr>
            </w:pPr>
            <w:r>
              <w:rPr>
                <w:sz w:val="22"/>
              </w:rPr>
              <w:t>高考录取查询</w:t>
            </w:r>
          </w:p>
        </w:tc>
        <w:tc>
          <w:tcPr>
            <w:tcW w:w="1163" w:type="dxa"/>
            <w:vAlign w:val="center"/>
          </w:tcPr>
          <w:p>
            <w:pPr>
              <w:pStyle w:val="33"/>
              <w:ind w:right="0" w:rightChars="0"/>
              <w:jc w:val="center"/>
              <w:rPr>
                <w:sz w:val="22"/>
              </w:rPr>
            </w:pPr>
            <w:r>
              <w:rPr>
                <w:sz w:val="22"/>
              </w:rPr>
              <w:t>其他</w:t>
            </w:r>
          </w:p>
        </w:tc>
        <w:tc>
          <w:tcPr>
            <w:tcW w:w="810" w:type="dxa"/>
            <w:vMerge w:val="continue"/>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Align w:val="center"/>
          </w:tcPr>
          <w:p>
            <w:pPr>
              <w:jc w:val="cente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户口迁移（大中专学校招生迁移）</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tcBorders>
              <w:top w:val="single" w:color="auto" w:sz="4" w:space="0"/>
              <w:left w:val="single" w:color="auto" w:sz="4" w:space="0"/>
              <w:right w:val="single" w:color="auto" w:sz="4" w:space="0"/>
            </w:tcBorders>
            <w:vAlign w:val="center"/>
          </w:tcPr>
          <w:p>
            <w:pPr>
              <w:pStyle w:val="33"/>
              <w:spacing w:before="1" w:line="273" w:lineRule="auto"/>
              <w:ind w:right="164" w:rightChars="0"/>
              <w:jc w:val="center"/>
              <w:rPr>
                <w:rFonts w:hint="eastAsia"/>
                <w:sz w:val="22"/>
                <w:lang w:val="en-US" w:eastAsia="zh-CN"/>
              </w:rPr>
            </w:pPr>
            <w:r>
              <w:rPr>
                <w:rFonts w:hint="eastAsia"/>
                <w:sz w:val="22"/>
                <w:lang w:val="en-US" w:eastAsia="zh-CN"/>
              </w:rPr>
              <w:t xml:space="preserve"> 县教</w:t>
            </w:r>
          </w:p>
          <w:p>
            <w:pPr>
              <w:pStyle w:val="33"/>
              <w:spacing w:before="1" w:line="273" w:lineRule="auto"/>
              <w:ind w:right="164"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体局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spacing w:before="29" w:line="281" w:lineRule="exact"/>
              <w:ind w:left="110" w:right="99"/>
              <w:jc w:val="center"/>
              <w:rPr>
                <w:sz w:val="22"/>
              </w:rPr>
            </w:pPr>
            <w:r>
              <w:rPr>
                <w:sz w:val="22"/>
              </w:rPr>
              <w:t>2.2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转学</w:t>
            </w:r>
          </w:p>
        </w:tc>
        <w:tc>
          <w:tcPr>
            <w:tcW w:w="4056" w:type="dxa"/>
            <w:gridSpan w:val="4"/>
            <w:vAlign w:val="center"/>
          </w:tcPr>
          <w:p>
            <w:pPr>
              <w:pStyle w:val="33"/>
              <w:ind w:right="-15" w:rightChars="0"/>
              <w:jc w:val="center"/>
              <w:rPr>
                <w:rFonts w:ascii="仿宋_GB2312" w:hAnsi="仿宋_GB2312" w:eastAsia="仿宋_GB2312" w:cs="仿宋_GB2312"/>
                <w:sz w:val="22"/>
                <w:szCs w:val="22"/>
                <w:lang w:val="en-US" w:eastAsia="zh-CN" w:bidi="ar-SA"/>
              </w:rPr>
            </w:pPr>
            <w:r>
              <w:rPr>
                <w:sz w:val="22"/>
              </w:rPr>
              <w:t>普通中小学学生学籍管理（转移服务</w:t>
            </w:r>
            <w:r>
              <w:rPr>
                <w:spacing w:val="-14"/>
                <w:sz w:val="22"/>
              </w:rPr>
              <w:t>）</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pStyle w:val="33"/>
              <w:spacing w:before="1" w:line="273" w:lineRule="auto"/>
              <w:ind w:right="164" w:rightChars="0"/>
              <w:jc w:val="center"/>
              <w:rPr>
                <w:rFonts w:hint="eastAsia"/>
                <w:sz w:val="22"/>
                <w:lang w:val="en-US" w:eastAsia="zh-CN"/>
              </w:rPr>
            </w:pPr>
          </w:p>
          <w:p>
            <w:pPr>
              <w:pStyle w:val="33"/>
              <w:spacing w:before="1" w:line="273" w:lineRule="auto"/>
              <w:ind w:right="164" w:rightChars="0"/>
              <w:jc w:val="center"/>
              <w:rPr>
                <w:rFonts w:hint="eastAsia"/>
                <w:sz w:val="22"/>
                <w:lang w:val="en-US" w:eastAsia="zh-CN"/>
              </w:rPr>
            </w:pPr>
            <w:r>
              <w:rPr>
                <w:rFonts w:hint="eastAsia"/>
                <w:sz w:val="22"/>
                <w:lang w:val="en-US" w:eastAsia="zh-CN"/>
              </w:rPr>
              <w:t xml:space="preserve"> 县教</w:t>
            </w:r>
          </w:p>
          <w:p>
            <w:pPr>
              <w:pStyle w:val="33"/>
              <w:spacing w:before="1" w:line="273" w:lineRule="auto"/>
              <w:ind w:right="164" w:rightChars="0"/>
              <w:jc w:val="center"/>
              <w:rPr>
                <w:rFonts w:hint="default"/>
                <w:sz w:val="22"/>
                <w:lang w:val="en-US" w:eastAsia="zh-CN"/>
              </w:rPr>
            </w:pPr>
            <w:r>
              <w:rPr>
                <w:rFonts w:hint="eastAsia"/>
                <w:sz w:val="22"/>
                <w:lang w:val="en-US" w:eastAsia="zh-CN"/>
              </w:rPr>
              <w:t xml:space="preserve"> 体局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sz w:val="22"/>
                <w:lang w:val="en-US" w:eastAsia="zh-CN"/>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3" w:lineRule="auto"/>
              <w:ind w:right="147" w:rightChars="0"/>
              <w:jc w:val="center"/>
              <w:rPr>
                <w:rFonts w:ascii="仿宋_GB2312" w:hAnsi="仿宋_GB2312" w:eastAsia="仿宋_GB2312" w:cs="仿宋_GB2312"/>
                <w:sz w:val="22"/>
                <w:szCs w:val="22"/>
                <w:lang w:val="en-US" w:eastAsia="zh-CN" w:bidi="ar-SA"/>
              </w:rPr>
            </w:pPr>
            <w:r>
              <w:rPr>
                <w:sz w:val="22"/>
              </w:rPr>
              <w:t>中等职业学校学生学籍管理（转移服务）</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spacing w:before="29" w:line="281" w:lineRule="exact"/>
              <w:ind w:left="110" w:right="99"/>
              <w:jc w:val="center"/>
              <w:rPr>
                <w:sz w:val="22"/>
              </w:rPr>
            </w:pPr>
            <w:r>
              <w:rPr>
                <w:sz w:val="22"/>
              </w:rPr>
              <w:t>2.3</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助学</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学前教育政府助学金</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restart"/>
            <w:tcBorders>
              <w:left w:val="single" w:color="auto" w:sz="4" w:space="0"/>
              <w:right w:val="single" w:color="auto" w:sz="4" w:space="0"/>
            </w:tcBorders>
            <w:vAlign w:val="center"/>
          </w:tcPr>
          <w:p>
            <w:pPr>
              <w:pStyle w:val="33"/>
              <w:spacing w:line="273" w:lineRule="auto"/>
              <w:ind w:right="164" w:rightChars="0"/>
              <w:jc w:val="both"/>
              <w:rPr>
                <w:rFonts w:hint="eastAsia"/>
                <w:sz w:val="22"/>
                <w:lang w:val="en-US" w:eastAsia="zh-CN"/>
              </w:rPr>
            </w:pPr>
          </w:p>
          <w:p>
            <w:pPr>
              <w:pStyle w:val="33"/>
              <w:spacing w:line="273" w:lineRule="auto"/>
              <w:ind w:right="164" w:rightChars="0"/>
              <w:jc w:val="center"/>
              <w:rPr>
                <w:rFonts w:hint="eastAsia"/>
                <w:sz w:val="22"/>
                <w:lang w:val="en-US" w:eastAsia="zh-CN"/>
              </w:rPr>
            </w:pPr>
            <w:r>
              <w:rPr>
                <w:rFonts w:hint="eastAsia"/>
                <w:sz w:val="22"/>
                <w:lang w:val="en-US" w:eastAsia="zh-CN"/>
              </w:rPr>
              <w:t xml:space="preserve"> 县教</w:t>
            </w:r>
          </w:p>
          <w:p>
            <w:pPr>
              <w:pStyle w:val="33"/>
              <w:spacing w:line="273" w:lineRule="auto"/>
              <w:ind w:right="164"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体局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普通高中国家助学金</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中等职业教育国家助学金</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申请助学贷款</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exact"/>
        </w:trPr>
        <w:tc>
          <w:tcPr>
            <w:tcW w:w="590" w:type="dxa"/>
            <w:vAlign w:val="center"/>
          </w:tcPr>
          <w:p>
            <w:pPr>
              <w:pStyle w:val="33"/>
              <w:spacing w:before="9"/>
              <w:jc w:val="center"/>
              <w:rPr>
                <w:rFonts w:ascii="宋体"/>
                <w:sz w:val="28"/>
              </w:rPr>
            </w:pPr>
          </w:p>
          <w:p>
            <w:pPr>
              <w:pStyle w:val="33"/>
              <w:ind w:left="164" w:leftChars="0" w:right="155" w:rightChars="0"/>
              <w:jc w:val="center"/>
              <w:rPr>
                <w:rFonts w:hint="eastAsia" w:ascii="仿宋_GB2312" w:hAnsi="仿宋_GB2312" w:eastAsia="仿宋_GB2312" w:cs="仿宋_GB2312"/>
                <w:sz w:val="22"/>
                <w:szCs w:val="22"/>
                <w:lang w:val="en-US" w:eastAsia="zh-CN" w:bidi="ar-SA"/>
              </w:rPr>
            </w:pPr>
            <w:r>
              <w:rPr>
                <w:sz w:val="22"/>
              </w:rPr>
              <w:t>18</w:t>
            </w:r>
          </w:p>
        </w:tc>
        <w:tc>
          <w:tcPr>
            <w:tcW w:w="507" w:type="dxa"/>
            <w:vMerge w:val="restart"/>
            <w:vAlign w:val="center"/>
          </w:tcPr>
          <w:p>
            <w:pPr>
              <w:pStyle w:val="33"/>
              <w:spacing w:line="276" w:lineRule="exact"/>
              <w:ind w:left="110" w:right="99"/>
              <w:jc w:val="center"/>
              <w:rPr>
                <w:sz w:val="22"/>
              </w:rPr>
            </w:pPr>
            <w:r>
              <w:rPr>
                <w:sz w:val="22"/>
              </w:rPr>
              <w:t>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教</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育</w:t>
            </w:r>
          </w:p>
        </w:tc>
        <w:tc>
          <w:tcPr>
            <w:tcW w:w="701" w:type="dxa"/>
            <w:vMerge w:val="restart"/>
            <w:vAlign w:val="center"/>
          </w:tcPr>
          <w:p>
            <w:pPr>
              <w:pStyle w:val="33"/>
              <w:spacing w:line="276" w:lineRule="exact"/>
              <w:ind w:left="110" w:right="99"/>
              <w:jc w:val="center"/>
              <w:rPr>
                <w:sz w:val="22"/>
              </w:rPr>
            </w:pPr>
            <w:r>
              <w:rPr>
                <w:sz w:val="22"/>
              </w:rPr>
              <w:t>2.4</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毕业</w:t>
            </w:r>
          </w:p>
        </w:tc>
        <w:tc>
          <w:tcPr>
            <w:tcW w:w="4056" w:type="dxa"/>
            <w:gridSpan w:val="4"/>
            <w:vAlign w:val="center"/>
          </w:tcPr>
          <w:p>
            <w:pPr>
              <w:pStyle w:val="33"/>
              <w:spacing w:line="271" w:lineRule="auto"/>
              <w:ind w:right="90" w:rightChars="0"/>
              <w:jc w:val="center"/>
              <w:rPr>
                <w:spacing w:val="-11"/>
                <w:sz w:val="22"/>
              </w:rPr>
            </w:pPr>
            <w:r>
              <w:rPr>
                <w:spacing w:val="-11"/>
                <w:sz w:val="22"/>
              </w:rPr>
              <w:t>公共人力资源市场服务</w:t>
            </w:r>
          </w:p>
          <w:p>
            <w:pPr>
              <w:pStyle w:val="33"/>
              <w:spacing w:line="271" w:lineRule="auto"/>
              <w:ind w:right="90" w:rightChars="0"/>
              <w:jc w:val="center"/>
              <w:rPr>
                <w:rFonts w:ascii="仿宋_GB2312" w:hAnsi="仿宋_GB2312" w:eastAsia="仿宋_GB2312" w:cs="仿宋_GB2312"/>
                <w:sz w:val="22"/>
                <w:szCs w:val="22"/>
                <w:lang w:val="en-US" w:eastAsia="zh-CN" w:bidi="ar-SA"/>
              </w:rPr>
            </w:pPr>
            <w:r>
              <w:rPr>
                <w:sz w:val="22"/>
              </w:rPr>
              <w:t>（</w:t>
            </w:r>
            <w:r>
              <w:rPr>
                <w:spacing w:val="-3"/>
                <w:sz w:val="22"/>
              </w:rPr>
              <w:t>网上发布求职</w:t>
            </w:r>
            <w:r>
              <w:rPr>
                <w:sz w:val="22"/>
              </w:rPr>
              <w:t>信息）</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人</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力资</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源和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社会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保障</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局</w:t>
            </w: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w:t>
            </w:r>
            <w:r>
              <w:rPr>
                <w:rFonts w:hint="eastAsia"/>
                <w:lang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19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毕业生网签协议</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20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毕业生录入协议</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rFonts w:hint="eastAsia"/>
                <w:sz w:val="22"/>
                <w:lang w:val="en-US" w:eastAsia="zh-CN"/>
              </w:rPr>
            </w:pPr>
            <w:r>
              <w:rPr>
                <w:sz w:val="22"/>
              </w:rPr>
              <w:t>21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毕业生解除就业信息</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exact"/>
        </w:trPr>
        <w:tc>
          <w:tcPr>
            <w:tcW w:w="590" w:type="dxa"/>
            <w:vMerge w:val="restart"/>
            <w:vAlign w:val="center"/>
          </w:tcPr>
          <w:p>
            <w:pPr>
              <w:pStyle w:val="33"/>
              <w:ind w:left="164" w:leftChars="0" w:right="155" w:rightChars="0"/>
              <w:jc w:val="center"/>
              <w:rPr>
                <w:rFonts w:hint="eastAsia"/>
                <w:sz w:val="22"/>
                <w:lang w:val="en-US" w:eastAsia="zh-CN"/>
              </w:rPr>
            </w:pPr>
            <w:r>
              <w:rPr>
                <w:sz w:val="22"/>
              </w:rPr>
              <w:t>22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restart"/>
            <w:vAlign w:val="center"/>
          </w:tcPr>
          <w:p>
            <w:pPr>
              <w:pStyle w:val="33"/>
              <w:spacing w:before="154" w:line="273" w:lineRule="auto"/>
              <w:ind w:right="154" w:rightChars="0"/>
              <w:jc w:val="center"/>
              <w:rPr>
                <w:rFonts w:ascii="仿宋_GB2312" w:hAnsi="仿宋_GB2312" w:eastAsia="仿宋_GB2312" w:cs="仿宋_GB2312"/>
                <w:sz w:val="22"/>
                <w:szCs w:val="22"/>
                <w:lang w:val="en-US" w:eastAsia="zh-CN" w:bidi="ar-SA"/>
              </w:rPr>
            </w:pPr>
            <w:r>
              <w:rPr>
                <w:sz w:val="22"/>
              </w:rPr>
              <w:t>高校毕业生就业服务</w:t>
            </w:r>
          </w:p>
          <w:p>
            <w:pPr>
              <w:pStyle w:val="33"/>
              <w:ind w:right="0" w:rightChars="0"/>
              <w:jc w:val="center"/>
              <w:rPr>
                <w:sz w:val="22"/>
              </w:rPr>
            </w:pPr>
          </w:p>
        </w:tc>
        <w:tc>
          <w:tcPr>
            <w:tcW w:w="2406" w:type="dxa"/>
            <w:gridSpan w:val="2"/>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就业报到证改派手续办理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pStyle w:val="33"/>
              <w:ind w:right="0" w:rightChars="0"/>
              <w:jc w:val="center"/>
              <w:rPr>
                <w:sz w:val="22"/>
              </w:rPr>
            </w:pPr>
          </w:p>
        </w:tc>
        <w:tc>
          <w:tcPr>
            <w:tcW w:w="2406" w:type="dxa"/>
            <w:gridSpan w:val="2"/>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就业报到证调整手续办理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23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离校未就业毕业生登记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24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师范类毕业生就业手续办理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县教体局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25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3" w:lineRule="auto"/>
              <w:ind w:right="91" w:rightChars="0"/>
              <w:jc w:val="center"/>
              <w:rPr>
                <w:spacing w:val="-14"/>
                <w:sz w:val="22"/>
              </w:rPr>
            </w:pPr>
            <w:r>
              <w:rPr>
                <w:spacing w:val="-14"/>
                <w:sz w:val="22"/>
              </w:rPr>
              <w:t>户口迁移</w:t>
            </w:r>
          </w:p>
          <w:p>
            <w:pPr>
              <w:pStyle w:val="33"/>
              <w:spacing w:line="273" w:lineRule="auto"/>
              <w:ind w:right="91" w:rightChars="0"/>
              <w:jc w:val="center"/>
              <w:rPr>
                <w:rFonts w:ascii="仿宋_GB2312" w:hAnsi="仿宋_GB2312" w:eastAsia="仿宋_GB2312" w:cs="仿宋_GB2312"/>
                <w:sz w:val="22"/>
                <w:szCs w:val="22"/>
                <w:lang w:val="en-US" w:eastAsia="zh-CN" w:bidi="ar-SA"/>
              </w:rPr>
            </w:pPr>
            <w:r>
              <w:rPr>
                <w:sz w:val="22"/>
              </w:rPr>
              <w:t>（</w:t>
            </w:r>
            <w:r>
              <w:rPr>
                <w:spacing w:val="-7"/>
                <w:sz w:val="22"/>
              </w:rPr>
              <w:t>大中专毕业生就业、回原籍</w:t>
            </w:r>
            <w:r>
              <w:rPr>
                <w:sz w:val="22"/>
              </w:rPr>
              <w:t>迁移）</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26</w:t>
            </w:r>
          </w:p>
        </w:tc>
        <w:tc>
          <w:tcPr>
            <w:tcW w:w="507" w:type="dxa"/>
            <w:vMerge w:val="restart"/>
            <w:vAlign w:val="center"/>
          </w:tcPr>
          <w:p>
            <w:pPr>
              <w:pStyle w:val="33"/>
              <w:spacing w:before="154" w:line="281" w:lineRule="exact"/>
              <w:ind w:left="110" w:right="99"/>
              <w:jc w:val="center"/>
              <w:rPr>
                <w:sz w:val="22"/>
              </w:rPr>
            </w:pPr>
            <w:r>
              <w:rPr>
                <w:sz w:val="22"/>
              </w:rPr>
              <w:t>3</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役</w:t>
            </w:r>
          </w:p>
        </w:tc>
        <w:tc>
          <w:tcPr>
            <w:tcW w:w="701" w:type="dxa"/>
            <w:vMerge w:val="restart"/>
            <w:vAlign w:val="center"/>
          </w:tcPr>
          <w:p>
            <w:pPr>
              <w:pStyle w:val="33"/>
              <w:spacing w:before="154" w:line="281" w:lineRule="exact"/>
              <w:ind w:left="110" w:right="99"/>
              <w:jc w:val="center"/>
              <w:rPr>
                <w:sz w:val="22"/>
              </w:rPr>
            </w:pPr>
            <w:r>
              <w:rPr>
                <w:sz w:val="22"/>
              </w:rPr>
              <w:t>3.1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退役</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退役军人报到登记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restart"/>
            <w:tcBorders>
              <w:left w:val="single" w:color="auto" w:sz="4" w:space="0"/>
              <w:right w:val="single" w:color="auto" w:sz="4" w:space="0"/>
            </w:tcBorders>
            <w:vAlign w:val="center"/>
          </w:tcPr>
          <w:p>
            <w:pPr>
              <w:pStyle w:val="33"/>
              <w:spacing w:line="273" w:lineRule="auto"/>
              <w:ind w:right="164" w:rightChars="0"/>
              <w:jc w:val="center"/>
              <w:rPr>
                <w:sz w:val="22"/>
              </w:rPr>
            </w:pPr>
            <w:r>
              <w:rPr>
                <w:rFonts w:hint="eastAsia"/>
                <w:sz w:val="22"/>
                <w:lang w:val="en-US" w:eastAsia="zh-CN"/>
              </w:rPr>
              <w:t>县</w:t>
            </w:r>
            <w:r>
              <w:rPr>
                <w:sz w:val="22"/>
              </w:rPr>
              <w:t>退</w:t>
            </w:r>
          </w:p>
          <w:p>
            <w:pPr>
              <w:pStyle w:val="33"/>
              <w:spacing w:line="273" w:lineRule="auto"/>
              <w:ind w:right="164" w:rightChars="0"/>
              <w:jc w:val="center"/>
              <w:rPr>
                <w:sz w:val="22"/>
              </w:rPr>
            </w:pPr>
            <w:r>
              <w:rPr>
                <w:sz w:val="22"/>
              </w:rPr>
              <w:t>役军</w:t>
            </w:r>
          </w:p>
          <w:p>
            <w:pPr>
              <w:pStyle w:val="33"/>
              <w:spacing w:line="273" w:lineRule="auto"/>
              <w:ind w:right="164" w:rightChars="0"/>
              <w:jc w:val="center"/>
              <w:rPr>
                <w:sz w:val="22"/>
              </w:rPr>
            </w:pPr>
            <w:r>
              <w:rPr>
                <w:sz w:val="22"/>
              </w:rPr>
              <w:t>人事</w:t>
            </w:r>
          </w:p>
          <w:p>
            <w:pPr>
              <w:pStyle w:val="33"/>
              <w:spacing w:line="273" w:lineRule="auto"/>
              <w:ind w:right="164" w:rightChars="0"/>
              <w:jc w:val="center"/>
              <w:rPr>
                <w:rFonts w:ascii="仿宋_GB2312" w:hAnsi="仿宋_GB2312" w:eastAsia="仿宋_GB2312" w:cs="仿宋_GB2312"/>
                <w:sz w:val="22"/>
                <w:szCs w:val="22"/>
                <w:lang w:val="en-US" w:eastAsia="zh-CN" w:bidi="ar-SA"/>
              </w:rPr>
            </w:pPr>
            <w:r>
              <w:rPr>
                <w:sz w:val="22"/>
              </w:rPr>
              <w:t>务局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退役军人</w:t>
            </w:r>
          </w:p>
          <w:p>
            <w:pPr>
              <w:jc w:val="center"/>
              <w:rPr>
                <w:rFonts w:hint="eastAsia"/>
                <w:lang w:val="en-US" w:eastAsia="zh-CN"/>
              </w:rPr>
            </w:pPr>
            <w:r>
              <w:t>事务局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27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户口登记（退出现役落户）</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28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3" w:lineRule="auto"/>
              <w:ind w:right="147" w:rightChars="0"/>
              <w:jc w:val="center"/>
              <w:rPr>
                <w:sz w:val="22"/>
              </w:rPr>
            </w:pPr>
            <w:r>
              <w:rPr>
                <w:sz w:val="22"/>
              </w:rPr>
              <w:t>发放自主就业退役士兵</w:t>
            </w:r>
          </w:p>
          <w:p>
            <w:pPr>
              <w:pStyle w:val="33"/>
              <w:spacing w:line="273" w:lineRule="auto"/>
              <w:ind w:right="147" w:rightChars="0"/>
              <w:jc w:val="center"/>
              <w:rPr>
                <w:rFonts w:ascii="仿宋_GB2312" w:hAnsi="仿宋_GB2312" w:eastAsia="仿宋_GB2312" w:cs="仿宋_GB2312"/>
                <w:sz w:val="22"/>
                <w:szCs w:val="22"/>
                <w:lang w:val="en-US" w:eastAsia="zh-CN" w:bidi="ar-SA"/>
              </w:rPr>
            </w:pPr>
            <w:r>
              <w:rPr>
                <w:sz w:val="22"/>
              </w:rPr>
              <w:t>一次性经济补助金</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退役军人</w:t>
            </w:r>
          </w:p>
          <w:p>
            <w:pPr>
              <w:jc w:val="center"/>
              <w:rPr>
                <w:rFonts w:hint="eastAsia"/>
                <w:lang w:val="en-US" w:eastAsia="zh-CN"/>
              </w:rPr>
            </w:pPr>
            <w:r>
              <w:t>事务局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29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退役军人就业创业培训</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退役军人</w:t>
            </w:r>
          </w:p>
          <w:p>
            <w:pPr>
              <w:jc w:val="center"/>
              <w:rPr>
                <w:rFonts w:hint="eastAsia"/>
                <w:lang w:val="en-US" w:eastAsia="zh-CN"/>
              </w:rPr>
            </w:pPr>
            <w:r>
              <w:t>事务局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30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伤残性质认定和伤残等级评定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退役军人</w:t>
            </w:r>
          </w:p>
          <w:p>
            <w:pPr>
              <w:jc w:val="center"/>
              <w:rPr>
                <w:rFonts w:hint="eastAsia"/>
                <w:lang w:val="en-US" w:eastAsia="zh-CN"/>
              </w:rPr>
            </w:pPr>
            <w:r>
              <w:t>事务局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r>
              <w:rPr>
                <w:sz w:val="22"/>
              </w:rPr>
              <w:t>31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带病回乡退伍军人的认定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退役军人</w:t>
            </w:r>
          </w:p>
          <w:p>
            <w:pPr>
              <w:jc w:val="center"/>
              <w:rPr>
                <w:rFonts w:hint="eastAsia"/>
                <w:lang w:val="en-US" w:eastAsia="zh-CN"/>
              </w:rPr>
            </w:pPr>
            <w:r>
              <w:t>事务局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exact"/>
        </w:trPr>
        <w:tc>
          <w:tcPr>
            <w:tcW w:w="590" w:type="dxa"/>
            <w:vMerge w:val="restart"/>
            <w:vAlign w:val="center"/>
          </w:tcPr>
          <w:p>
            <w:pPr>
              <w:pStyle w:val="33"/>
              <w:ind w:left="164" w:leftChars="0" w:right="155" w:rightChars="0"/>
              <w:jc w:val="center"/>
              <w:rPr>
                <w:sz w:val="22"/>
              </w:rPr>
            </w:pPr>
          </w:p>
          <w:p>
            <w:pPr>
              <w:pStyle w:val="33"/>
              <w:ind w:left="164" w:leftChars="0" w:right="155" w:rightChars="0"/>
              <w:jc w:val="center"/>
              <w:rPr>
                <w:sz w:val="22"/>
              </w:rPr>
            </w:pPr>
          </w:p>
          <w:p>
            <w:pPr>
              <w:pStyle w:val="33"/>
              <w:ind w:left="164" w:leftChars="0" w:right="155" w:rightChars="0"/>
              <w:jc w:val="center"/>
              <w:rPr>
                <w:sz w:val="22"/>
              </w:rPr>
            </w:pPr>
          </w:p>
          <w:p>
            <w:pPr>
              <w:pStyle w:val="33"/>
              <w:ind w:left="164" w:leftChars="0" w:right="155" w:rightChars="0"/>
              <w:jc w:val="center"/>
              <w:rPr>
                <w:sz w:val="22"/>
              </w:rPr>
            </w:pPr>
            <w:r>
              <w:rPr>
                <w:sz w:val="22"/>
              </w:rPr>
              <w:t>32</w:t>
            </w:r>
          </w:p>
          <w:p>
            <w:pPr>
              <w:pStyle w:val="33"/>
              <w:ind w:left="164" w:leftChars="0" w:right="155" w:rightChars="0"/>
              <w:jc w:val="center"/>
              <w:rPr>
                <w:sz w:val="22"/>
              </w:rPr>
            </w:pPr>
          </w:p>
          <w:p>
            <w:pPr>
              <w:pStyle w:val="33"/>
              <w:ind w:left="164" w:leftChars="0" w:right="155" w:rightChars="0"/>
              <w:jc w:val="center"/>
              <w:rPr>
                <w:sz w:val="22"/>
              </w:rPr>
            </w:pPr>
          </w:p>
          <w:p>
            <w:pPr>
              <w:pStyle w:val="33"/>
              <w:ind w:left="164" w:leftChars="0" w:right="155" w:rightChars="0"/>
              <w:jc w:val="center"/>
              <w:rPr>
                <w:sz w:val="22"/>
              </w:rPr>
            </w:pPr>
          </w:p>
          <w:p>
            <w:pPr>
              <w:pStyle w:val="33"/>
              <w:ind w:left="164" w:leftChars="0" w:right="155" w:rightChars="0"/>
              <w:jc w:val="center"/>
              <w:rPr>
                <w:sz w:val="22"/>
              </w:rPr>
            </w:pPr>
          </w:p>
          <w:p>
            <w:pPr>
              <w:pStyle w:val="33"/>
              <w:ind w:left="164" w:leftChars="0" w:right="155" w:rightChars="0"/>
              <w:jc w:val="center"/>
              <w:rPr>
                <w:rFonts w:hint="eastAsia"/>
                <w:sz w:val="22"/>
                <w:lang w:val="en-US" w:eastAsia="zh-CN"/>
              </w:rPr>
            </w:pP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spacing w:before="1"/>
              <w:ind w:left="185"/>
              <w:jc w:val="both"/>
              <w:rPr>
                <w:sz w:val="22"/>
              </w:rPr>
            </w:pPr>
            <w:r>
              <w:rPr>
                <w:sz w:val="22"/>
              </w:rPr>
              <w:t>4.1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职业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9"/>
                <w:sz w:val="22"/>
              </w:rPr>
              <w:t>资格</w:t>
            </w:r>
          </w:p>
        </w:tc>
        <w:tc>
          <w:tcPr>
            <w:tcW w:w="1650" w:type="dxa"/>
            <w:gridSpan w:val="2"/>
            <w:vMerge w:val="restart"/>
            <w:vAlign w:val="center"/>
          </w:tcPr>
          <w:p>
            <w:pPr>
              <w:pStyle w:val="33"/>
              <w:spacing w:before="163"/>
              <w:ind w:right="0" w:rightChars="0"/>
              <w:jc w:val="center"/>
              <w:rPr>
                <w:rFonts w:ascii="仿宋_GB2312" w:hAnsi="仿宋_GB2312" w:eastAsia="仿宋_GB2312" w:cs="仿宋_GB2312"/>
                <w:sz w:val="22"/>
                <w:szCs w:val="22"/>
                <w:lang w:val="en-US" w:eastAsia="zh-CN" w:bidi="ar-SA"/>
              </w:rPr>
            </w:pPr>
            <w:r>
              <w:rPr>
                <w:sz w:val="22"/>
              </w:rPr>
              <w:t>教师资格认定</w:t>
            </w:r>
          </w:p>
          <w:p>
            <w:pPr>
              <w:pStyle w:val="33"/>
              <w:ind w:right="0" w:rightChars="0"/>
              <w:jc w:val="center"/>
              <w:rPr>
                <w:sz w:val="22"/>
              </w:rPr>
            </w:pPr>
          </w:p>
        </w:tc>
        <w:tc>
          <w:tcPr>
            <w:tcW w:w="2406" w:type="dxa"/>
            <w:gridSpan w:val="2"/>
            <w:vAlign w:val="center"/>
          </w:tcPr>
          <w:p>
            <w:pPr>
              <w:pStyle w:val="33"/>
              <w:spacing w:line="273" w:lineRule="auto"/>
              <w:ind w:right="50" w:rightChars="0"/>
              <w:jc w:val="center"/>
              <w:rPr>
                <w:rFonts w:ascii="仿宋_GB2312" w:hAnsi="仿宋_GB2312" w:eastAsia="仿宋_GB2312" w:cs="仿宋_GB2312"/>
                <w:sz w:val="22"/>
                <w:szCs w:val="22"/>
                <w:lang w:val="en-US" w:eastAsia="zh-CN" w:bidi="ar-SA"/>
              </w:rPr>
            </w:pPr>
            <w:r>
              <w:rPr>
                <w:sz w:val="22"/>
              </w:rPr>
              <w:t>幼儿园、小学和初级中学教师资格认定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2406" w:type="dxa"/>
            <w:gridSpan w:val="2"/>
            <w:vAlign w:val="center"/>
          </w:tcPr>
          <w:p>
            <w:pPr>
              <w:pStyle w:val="33"/>
              <w:spacing w:before="18" w:line="271" w:lineRule="auto"/>
              <w:ind w:right="49"/>
              <w:jc w:val="center"/>
              <w:rPr>
                <w:sz w:val="22"/>
              </w:rPr>
            </w:pPr>
            <w:r>
              <w:rPr>
                <w:sz w:val="22"/>
              </w:rPr>
              <w:t>高级中学教师、</w:t>
            </w:r>
          </w:p>
          <w:p>
            <w:pPr>
              <w:pStyle w:val="33"/>
              <w:spacing w:before="18" w:line="271" w:lineRule="auto"/>
              <w:ind w:right="49"/>
              <w:jc w:val="center"/>
              <w:rPr>
                <w:sz w:val="22"/>
              </w:rPr>
            </w:pPr>
            <w:r>
              <w:rPr>
                <w:sz w:val="22"/>
              </w:rPr>
              <w:t>中等职业学校教师资格和中等职业学校实</w:t>
            </w:r>
          </w:p>
          <w:p>
            <w:pPr>
              <w:pStyle w:val="33"/>
              <w:spacing w:before="5" w:line="281" w:lineRule="exact"/>
              <w:ind w:left="328" w:leftChars="0" w:right="0" w:rightChars="0"/>
              <w:jc w:val="center"/>
              <w:rPr>
                <w:rFonts w:ascii="仿宋_GB2312" w:hAnsi="仿宋_GB2312" w:eastAsia="仿宋_GB2312" w:cs="仿宋_GB2312"/>
                <w:sz w:val="22"/>
                <w:szCs w:val="22"/>
                <w:lang w:val="en-US" w:eastAsia="zh-CN" w:bidi="ar-SA"/>
              </w:rPr>
            </w:pPr>
            <w:r>
              <w:rPr>
                <w:sz w:val="22"/>
              </w:rPr>
              <w:t>习教师资格认定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exact"/>
        </w:trPr>
        <w:tc>
          <w:tcPr>
            <w:tcW w:w="590" w:type="dxa"/>
            <w:vAlign w:val="center"/>
          </w:tcPr>
          <w:p>
            <w:pPr>
              <w:pStyle w:val="33"/>
              <w:ind w:left="164" w:leftChars="0" w:right="155" w:rightChars="0"/>
              <w:jc w:val="center"/>
              <w:rPr>
                <w:rFonts w:hint="eastAsia"/>
                <w:sz w:val="22"/>
                <w:lang w:val="en-US" w:eastAsia="zh-CN"/>
              </w:rPr>
            </w:pPr>
            <w:r>
              <w:rPr>
                <w:sz w:val="22"/>
              </w:rPr>
              <w:t>33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律师执业、变更、注销许可</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default"/>
                <w:lang w:val="en-US" w:eastAsia="zh-CN"/>
              </w:rPr>
            </w:pPr>
            <w:r>
              <w:rPr>
                <w:rFonts w:hint="eastAsia"/>
                <w:lang w:val="en-US" w:eastAsia="zh-CN"/>
              </w:rPr>
              <w:t>县司法局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exact"/>
        </w:trPr>
        <w:tc>
          <w:tcPr>
            <w:tcW w:w="590" w:type="dxa"/>
            <w:vAlign w:val="center"/>
          </w:tcPr>
          <w:p>
            <w:pPr>
              <w:pStyle w:val="33"/>
              <w:ind w:left="164" w:leftChars="0" w:right="155" w:rightChars="0"/>
              <w:jc w:val="center"/>
              <w:rPr>
                <w:rFonts w:hint="eastAsia"/>
                <w:sz w:val="22"/>
                <w:lang w:val="en-US" w:eastAsia="zh-CN"/>
              </w:rPr>
            </w:pPr>
            <w:r>
              <w:rPr>
                <w:sz w:val="22"/>
              </w:rPr>
              <w:t>34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医师执业注册</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县行政审批</w:t>
            </w:r>
          </w:p>
          <w:p>
            <w:pPr>
              <w:jc w:val="center"/>
              <w:rPr>
                <w:rFonts w:hint="default"/>
                <w:lang w:val="en-US" w:eastAsia="zh-CN"/>
              </w:rPr>
            </w:pPr>
            <w:r>
              <w:rPr>
                <w:rFonts w:hint="eastAsia"/>
                <w:lang w:val="en-US" w:eastAsia="zh-CN"/>
              </w:rP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exact"/>
        </w:trPr>
        <w:tc>
          <w:tcPr>
            <w:tcW w:w="590" w:type="dxa"/>
            <w:vMerge w:val="restart"/>
            <w:vAlign w:val="center"/>
          </w:tcPr>
          <w:p>
            <w:pPr>
              <w:pStyle w:val="33"/>
              <w:ind w:right="155" w:rightChars="0"/>
              <w:jc w:val="center"/>
              <w:rPr>
                <w:rFonts w:hint="eastAsia"/>
                <w:sz w:val="22"/>
                <w:lang w:val="en-US" w:eastAsia="zh-CN"/>
              </w:rPr>
            </w:pPr>
            <w:r>
              <w:rPr>
                <w:sz w:val="22"/>
              </w:rPr>
              <w:t>35</w:t>
            </w:r>
          </w:p>
        </w:tc>
        <w:tc>
          <w:tcPr>
            <w:tcW w:w="507" w:type="dxa"/>
            <w:vMerge w:val="restart"/>
            <w:vAlign w:val="center"/>
          </w:tcPr>
          <w:p>
            <w:pPr>
              <w:pStyle w:val="33"/>
              <w:ind w:firstLine="217" w:firstLineChars="100"/>
              <w:jc w:val="both"/>
              <w:rPr>
                <w:sz w:val="22"/>
              </w:rPr>
            </w:pPr>
            <w:r>
              <w:rPr>
                <w:w w:val="99"/>
                <w:sz w:val="22"/>
              </w:rPr>
              <w:t>4</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工</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作</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restart"/>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护士执业注册</w:t>
            </w:r>
          </w:p>
          <w:p>
            <w:pPr>
              <w:pStyle w:val="33"/>
              <w:ind w:right="0" w:rightChars="0"/>
              <w:jc w:val="center"/>
              <w:rPr>
                <w:sz w:val="22"/>
              </w:rPr>
            </w:pPr>
          </w:p>
        </w:tc>
        <w:tc>
          <w:tcPr>
            <w:tcW w:w="2406" w:type="dxa"/>
            <w:gridSpan w:val="2"/>
            <w:vAlign w:val="center"/>
          </w:tcPr>
          <w:p>
            <w:pPr>
              <w:pStyle w:val="33"/>
              <w:spacing w:before="10" w:line="320" w:lineRule="atLeast"/>
              <w:ind w:right="198" w:rightChars="0"/>
              <w:jc w:val="center"/>
              <w:rPr>
                <w:rFonts w:ascii="仿宋_GB2312" w:hAnsi="仿宋_GB2312" w:eastAsia="仿宋_GB2312" w:cs="仿宋_GB2312"/>
                <w:sz w:val="22"/>
                <w:szCs w:val="22"/>
                <w:lang w:val="en-US" w:eastAsia="zh-CN" w:bidi="ar-SA"/>
              </w:rPr>
            </w:pPr>
            <w:r>
              <w:rPr>
                <w:sz w:val="22"/>
              </w:rPr>
              <w:t>县级执业登记和备案的医疗卫生机构护士执业注册</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政审</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批服</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务局</w:t>
            </w: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pStyle w:val="33"/>
              <w:ind w:right="0" w:rightChars="0"/>
              <w:jc w:val="center"/>
              <w:rPr>
                <w:sz w:val="22"/>
              </w:rPr>
            </w:pPr>
          </w:p>
        </w:tc>
        <w:tc>
          <w:tcPr>
            <w:tcW w:w="2406" w:type="dxa"/>
            <w:gridSpan w:val="2"/>
            <w:vAlign w:val="center"/>
          </w:tcPr>
          <w:p>
            <w:pPr>
              <w:pStyle w:val="33"/>
              <w:spacing w:before="48" w:line="271" w:lineRule="auto"/>
              <w:ind w:right="198"/>
              <w:jc w:val="center"/>
              <w:rPr>
                <w:sz w:val="22"/>
              </w:rPr>
            </w:pPr>
            <w:r>
              <w:rPr>
                <w:sz w:val="22"/>
              </w:rPr>
              <w:t>市级执业登记的医疗卫生机构护士执业</w:t>
            </w:r>
          </w:p>
          <w:p>
            <w:pPr>
              <w:pStyle w:val="33"/>
              <w:spacing w:before="48" w:line="271" w:lineRule="auto"/>
              <w:ind w:right="198"/>
              <w:jc w:val="center"/>
              <w:rPr>
                <w:rFonts w:ascii="仿宋_GB2312" w:hAnsi="仿宋_GB2312" w:eastAsia="仿宋_GB2312" w:cs="仿宋_GB2312"/>
                <w:sz w:val="22"/>
                <w:szCs w:val="22"/>
                <w:lang w:val="en-US" w:eastAsia="zh-CN" w:bidi="ar-SA"/>
              </w:rPr>
            </w:pPr>
            <w:r>
              <w:rPr>
                <w:sz w:val="22"/>
              </w:rPr>
              <w:t>注册</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pStyle w:val="33"/>
              <w:ind w:right="0" w:rightChars="0"/>
              <w:jc w:val="center"/>
              <w:rPr>
                <w:sz w:val="22"/>
              </w:rPr>
            </w:pPr>
          </w:p>
        </w:tc>
        <w:tc>
          <w:tcPr>
            <w:tcW w:w="2406" w:type="dxa"/>
            <w:gridSpan w:val="2"/>
            <w:vAlign w:val="center"/>
          </w:tcPr>
          <w:p>
            <w:pPr>
              <w:pStyle w:val="33"/>
              <w:spacing w:before="48"/>
              <w:jc w:val="center"/>
              <w:rPr>
                <w:sz w:val="22"/>
              </w:rPr>
            </w:pPr>
            <w:r>
              <w:rPr>
                <w:sz w:val="22"/>
              </w:rPr>
              <w:t>省级执业登记的医</w:t>
            </w:r>
          </w:p>
          <w:p>
            <w:pPr>
              <w:pStyle w:val="33"/>
              <w:spacing w:before="1" w:line="320" w:lineRule="atLeast"/>
              <w:ind w:right="198" w:rightChars="0"/>
              <w:jc w:val="center"/>
              <w:rPr>
                <w:rFonts w:ascii="仿宋_GB2312" w:hAnsi="仿宋_GB2312" w:eastAsia="仿宋_GB2312" w:cs="仿宋_GB2312"/>
                <w:sz w:val="22"/>
                <w:szCs w:val="22"/>
                <w:lang w:val="en-US" w:eastAsia="zh-CN" w:bidi="ar-SA"/>
              </w:rPr>
            </w:pPr>
            <w:r>
              <w:rPr>
                <w:sz w:val="22"/>
              </w:rPr>
              <w:t>疗卫生机构护士执业注册</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exact"/>
        </w:trPr>
        <w:tc>
          <w:tcPr>
            <w:tcW w:w="590" w:type="dxa"/>
            <w:vAlign w:val="center"/>
          </w:tcPr>
          <w:p>
            <w:pPr>
              <w:pStyle w:val="33"/>
              <w:ind w:left="164" w:leftChars="0" w:right="155" w:rightChars="0"/>
              <w:jc w:val="center"/>
              <w:rPr>
                <w:rFonts w:hint="default" w:eastAsia="仿宋_GB2312"/>
                <w:sz w:val="22"/>
                <w:lang w:val="en-US" w:eastAsia="zh-CN"/>
              </w:rPr>
            </w:pPr>
            <w:r>
              <w:rPr>
                <w:rFonts w:hint="eastAsia"/>
                <w:sz w:val="22"/>
                <w:lang w:val="en-US" w:eastAsia="zh-CN"/>
              </w:rPr>
              <w:t>36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特种设备作业人员资格认定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restart"/>
            <w:vAlign w:val="center"/>
          </w:tcPr>
          <w:p>
            <w:pPr>
              <w:pStyle w:val="33"/>
              <w:ind w:left="164" w:leftChars="0" w:right="155" w:rightChars="0"/>
              <w:jc w:val="center"/>
              <w:rPr>
                <w:rFonts w:hint="default"/>
                <w:sz w:val="22"/>
                <w:lang w:val="en-US" w:eastAsia="zh-CN"/>
              </w:rPr>
            </w:pPr>
            <w:r>
              <w:rPr>
                <w:rFonts w:hint="eastAsia"/>
                <w:sz w:val="22"/>
                <w:lang w:val="en-US" w:eastAsia="zh-CN"/>
              </w:rPr>
              <w:t>37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spacing w:before="54"/>
              <w:jc w:val="center"/>
              <w:rPr>
                <w:sz w:val="22"/>
              </w:rPr>
            </w:pPr>
            <w:r>
              <w:rPr>
                <w:sz w:val="22"/>
              </w:rPr>
              <w:t>4.2</w:t>
            </w:r>
          </w:p>
          <w:p>
            <w:pPr>
              <w:pStyle w:val="33"/>
              <w:spacing w:before="39" w:line="271" w:lineRule="auto"/>
              <w:ind w:left="130" w:leftChars="0" w:right="115" w:rightChars="0" w:firstLine="1" w:firstLineChars="0"/>
              <w:jc w:val="center"/>
              <w:rPr>
                <w:rFonts w:ascii="仿宋_GB2312" w:hAnsi="仿宋_GB2312" w:eastAsia="仿宋_GB2312" w:cs="仿宋_GB2312"/>
                <w:sz w:val="22"/>
                <w:szCs w:val="22"/>
                <w:lang w:val="en-US" w:eastAsia="zh-CN" w:bidi="ar-SA"/>
              </w:rPr>
            </w:pPr>
            <w:r>
              <w:rPr>
                <w:spacing w:val="-8"/>
                <w:sz w:val="22"/>
              </w:rPr>
              <w:t>人才引进</w:t>
            </w:r>
          </w:p>
        </w:tc>
        <w:tc>
          <w:tcPr>
            <w:tcW w:w="1650" w:type="dxa"/>
            <w:gridSpan w:val="2"/>
            <w:vMerge w:val="restart"/>
            <w:vAlign w:val="center"/>
          </w:tcPr>
          <w:p>
            <w:pPr>
              <w:pStyle w:val="33"/>
              <w:jc w:val="center"/>
              <w:rPr>
                <w:rFonts w:ascii="宋体"/>
                <w:sz w:val="22"/>
              </w:rPr>
            </w:pPr>
          </w:p>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高层次人才服务</w:t>
            </w:r>
          </w:p>
        </w:tc>
        <w:tc>
          <w:tcPr>
            <w:tcW w:w="2406" w:type="dxa"/>
            <w:gridSpan w:val="2"/>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“沂蒙惠才卡”办理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restart"/>
            <w:tcBorders>
              <w:left w:val="single" w:color="auto" w:sz="4" w:space="0"/>
              <w:right w:val="single" w:color="auto" w:sz="4" w:space="0"/>
            </w:tcBorders>
            <w:vAlign w:val="center"/>
          </w:tcPr>
          <w:p>
            <w:pPr>
              <w:pStyle w:val="33"/>
              <w:spacing w:before="18" w:line="273" w:lineRule="auto"/>
              <w:ind w:left="190" w:right="164"/>
              <w:jc w:val="center"/>
              <w:rPr>
                <w:rFonts w:ascii="仿宋_GB2312" w:hAnsi="仿宋_GB2312" w:eastAsia="仿宋_GB2312" w:cs="仿宋_GB2312"/>
                <w:sz w:val="22"/>
                <w:szCs w:val="22"/>
                <w:lang w:val="en-US" w:eastAsia="zh-CN" w:bidi="ar-SA"/>
              </w:rPr>
            </w:pPr>
            <w:r>
              <w:rPr>
                <w:rFonts w:hint="eastAsia"/>
                <w:sz w:val="22"/>
                <w:lang w:val="en-US" w:eastAsia="zh-CN"/>
              </w:rPr>
              <w:t>县</w:t>
            </w:r>
            <w:r>
              <w:rPr>
                <w:spacing w:val="-8"/>
                <w:sz w:val="22"/>
              </w:rPr>
              <w:t>人才发展服务</w:t>
            </w:r>
            <w:r>
              <w:rPr>
                <w:sz w:val="22"/>
              </w:rPr>
              <w:t>中心</w:t>
            </w:r>
          </w:p>
        </w:tc>
        <w:tc>
          <w:tcPr>
            <w:tcW w:w="1552" w:type="dxa"/>
            <w:vMerge w:val="restart"/>
            <w:tcBorders>
              <w:left w:val="single" w:color="auto" w:sz="4" w:space="0"/>
            </w:tcBorders>
            <w:vAlign w:val="center"/>
          </w:tcPr>
          <w:p>
            <w:pPr>
              <w:jc w:val="center"/>
              <w:rPr>
                <w:rFonts w:hint="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pStyle w:val="33"/>
              <w:ind w:right="0" w:rightChars="0"/>
              <w:jc w:val="center"/>
              <w:rPr>
                <w:sz w:val="22"/>
              </w:rPr>
            </w:pPr>
          </w:p>
        </w:tc>
        <w:tc>
          <w:tcPr>
            <w:tcW w:w="2406" w:type="dxa"/>
            <w:gridSpan w:val="2"/>
            <w:vAlign w:val="center"/>
          </w:tcPr>
          <w:p>
            <w:pPr>
              <w:pStyle w:val="33"/>
              <w:spacing w:before="99" w:line="273" w:lineRule="auto"/>
              <w:ind w:right="198" w:rightChars="0"/>
              <w:jc w:val="center"/>
              <w:rPr>
                <w:sz w:val="22"/>
              </w:rPr>
            </w:pPr>
            <w:r>
              <w:rPr>
                <w:sz w:val="22"/>
              </w:rPr>
              <w:t>人才服务保障凭证</w:t>
            </w:r>
          </w:p>
          <w:p>
            <w:pPr>
              <w:pStyle w:val="33"/>
              <w:spacing w:before="99" w:line="273" w:lineRule="auto"/>
              <w:ind w:right="198" w:rightChars="0"/>
              <w:jc w:val="center"/>
              <w:rPr>
                <w:rFonts w:ascii="仿宋_GB2312" w:hAnsi="仿宋_GB2312" w:eastAsia="仿宋_GB2312" w:cs="仿宋_GB2312"/>
                <w:sz w:val="22"/>
                <w:szCs w:val="22"/>
                <w:lang w:val="en-US" w:eastAsia="zh-CN" w:bidi="ar-SA"/>
              </w:rPr>
            </w:pPr>
            <w:r>
              <w:rPr>
                <w:sz w:val="22"/>
              </w:rPr>
              <w:t>办理（县级）</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vMerge w:val="continue"/>
            <w:tcBorders>
              <w:left w:val="single" w:color="auto" w:sz="4" w:space="0"/>
            </w:tcBorders>
            <w:vAlign w:val="center"/>
          </w:tcPr>
          <w:p>
            <w:pPr>
              <w:jc w:val="center"/>
              <w:rPr>
                <w:rFonts w:hint="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exact"/>
        </w:trPr>
        <w:tc>
          <w:tcPr>
            <w:tcW w:w="590" w:type="dxa"/>
            <w:vMerge w:val="restart"/>
            <w:vAlign w:val="center"/>
          </w:tcPr>
          <w:p>
            <w:pPr>
              <w:pStyle w:val="33"/>
              <w:ind w:left="164" w:leftChars="0" w:right="155" w:rightChars="0"/>
              <w:jc w:val="center"/>
              <w:rPr>
                <w:rFonts w:hint="default"/>
                <w:sz w:val="22"/>
                <w:lang w:val="en-US" w:eastAsia="zh-CN"/>
              </w:rPr>
            </w:pPr>
            <w:r>
              <w:rPr>
                <w:rFonts w:hint="eastAsia"/>
                <w:sz w:val="22"/>
                <w:lang w:val="en-US" w:eastAsia="zh-CN"/>
              </w:rPr>
              <w:t>38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spacing w:before="16"/>
              <w:ind w:left="185"/>
              <w:jc w:val="both"/>
              <w:rPr>
                <w:sz w:val="22"/>
              </w:rPr>
            </w:pPr>
            <w:r>
              <w:rPr>
                <w:sz w:val="22"/>
              </w:rPr>
              <w:t>4.3</w:t>
            </w:r>
          </w:p>
          <w:p>
            <w:pPr>
              <w:pStyle w:val="33"/>
              <w:spacing w:before="38" w:line="276" w:lineRule="exact"/>
              <w:ind w:left="130"/>
              <w:jc w:val="both"/>
              <w:rPr>
                <w:sz w:val="22"/>
              </w:rPr>
            </w:pPr>
            <w:r>
              <w:rPr>
                <w:sz w:val="22"/>
              </w:rPr>
              <w:t>社会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保障</w:t>
            </w:r>
          </w:p>
        </w:tc>
        <w:tc>
          <w:tcPr>
            <w:tcW w:w="1650" w:type="dxa"/>
            <w:gridSpan w:val="2"/>
            <w:vMerge w:val="restart"/>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社会保险登记</w:t>
            </w:r>
          </w:p>
          <w:p>
            <w:pPr>
              <w:pStyle w:val="33"/>
              <w:ind w:right="0" w:rightChars="0"/>
              <w:jc w:val="center"/>
              <w:rPr>
                <w:sz w:val="22"/>
              </w:rPr>
            </w:pPr>
          </w:p>
        </w:tc>
        <w:tc>
          <w:tcPr>
            <w:tcW w:w="2406" w:type="dxa"/>
            <w:gridSpan w:val="2"/>
            <w:vAlign w:val="center"/>
          </w:tcPr>
          <w:p>
            <w:pPr>
              <w:jc w:val="center"/>
              <w:rPr>
                <w:rFonts w:hint="eastAsia"/>
              </w:rPr>
            </w:pPr>
            <w:r>
              <w:rPr>
                <w:rFonts w:hint="eastAsia"/>
              </w:rPr>
              <w:t>企业社会保险登记</w:t>
            </w:r>
          </w:p>
          <w:p>
            <w:pPr>
              <w:pStyle w:val="33"/>
              <w:spacing w:before="1" w:line="320" w:lineRule="atLeast"/>
              <w:ind w:right="198" w:rightChars="0"/>
              <w:jc w:val="center"/>
              <w:rPr>
                <w:rFonts w:ascii="仿宋_GB2312" w:hAnsi="仿宋_GB2312" w:eastAsia="仿宋_GB2312" w:cs="仿宋_GB2312"/>
                <w:sz w:val="22"/>
                <w:szCs w:val="22"/>
                <w:lang w:val="en-US" w:eastAsia="zh-CN" w:bidi="ar-SA"/>
              </w:rPr>
            </w:pPr>
            <w:r>
              <w:rPr>
                <w:sz w:val="22"/>
              </w:rPr>
              <w:t>（</w:t>
            </w:r>
            <w:r>
              <w:rPr>
                <w:spacing w:val="-3"/>
                <w:sz w:val="22"/>
              </w:rPr>
              <w:t>灵活就业人员社</w:t>
            </w:r>
            <w:r>
              <w:rPr>
                <w:sz w:val="22"/>
              </w:rPr>
              <w:t>会保险参保登记</w:t>
            </w:r>
            <w:r>
              <w:rPr>
                <w:spacing w:val="-15"/>
                <w:sz w:val="22"/>
              </w:rPr>
              <w:t>）</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人</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力资</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源和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社会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保障</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局</w:t>
            </w: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650" w:type="dxa"/>
            <w:gridSpan w:val="2"/>
            <w:vMerge w:val="continue"/>
            <w:vAlign w:val="center"/>
          </w:tcPr>
          <w:p>
            <w:pPr>
              <w:pStyle w:val="33"/>
              <w:ind w:right="0" w:rightChars="0"/>
              <w:jc w:val="center"/>
              <w:rPr>
                <w:sz w:val="22"/>
              </w:rPr>
            </w:pPr>
          </w:p>
        </w:tc>
        <w:tc>
          <w:tcPr>
            <w:tcW w:w="2406" w:type="dxa"/>
            <w:gridSpan w:val="2"/>
            <w:vAlign w:val="center"/>
          </w:tcPr>
          <w:p>
            <w:pPr>
              <w:pStyle w:val="33"/>
              <w:spacing w:line="273" w:lineRule="auto"/>
              <w:ind w:right="198" w:rightChars="0"/>
              <w:jc w:val="center"/>
              <w:rPr>
                <w:sz w:val="22"/>
              </w:rPr>
            </w:pPr>
            <w:r>
              <w:rPr>
                <w:sz w:val="22"/>
              </w:rPr>
              <w:t>居民养老保险参保</w:t>
            </w:r>
          </w:p>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39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居民和灵活就业人员社会保险费缴纳</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40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居民基本养老保险关系转续</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exact"/>
        </w:trPr>
        <w:tc>
          <w:tcPr>
            <w:tcW w:w="590" w:type="dxa"/>
            <w:vMerge w:val="restart"/>
            <w:vAlign w:val="center"/>
          </w:tcPr>
          <w:p>
            <w:pPr>
              <w:pStyle w:val="33"/>
              <w:ind w:left="164" w:leftChars="0" w:right="155" w:rightChars="0"/>
              <w:jc w:val="center"/>
              <w:rPr>
                <w:rFonts w:hint="default"/>
                <w:sz w:val="22"/>
                <w:lang w:val="en-US" w:eastAsia="zh-CN"/>
              </w:rPr>
            </w:pPr>
            <w:r>
              <w:rPr>
                <w:rFonts w:hint="eastAsia"/>
                <w:sz w:val="22"/>
                <w:lang w:val="en-US" w:eastAsia="zh-CN"/>
              </w:rPr>
              <w:t>41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1"/>
              <w:jc w:val="center"/>
              <w:rPr>
                <w:rFonts w:ascii="宋体"/>
                <w:sz w:val="15"/>
              </w:rPr>
            </w:pPr>
          </w:p>
          <w:p>
            <w:pPr>
              <w:pStyle w:val="33"/>
              <w:spacing w:line="273" w:lineRule="auto"/>
              <w:ind w:right="154" w:rightChars="0"/>
              <w:jc w:val="center"/>
              <w:rPr>
                <w:rFonts w:ascii="仿宋_GB2312" w:hAnsi="仿宋_GB2312" w:eastAsia="仿宋_GB2312" w:cs="仿宋_GB2312"/>
                <w:sz w:val="22"/>
                <w:szCs w:val="22"/>
                <w:lang w:val="en-US" w:eastAsia="zh-CN" w:bidi="ar-SA"/>
              </w:rPr>
            </w:pPr>
            <w:r>
              <w:rPr>
                <w:sz w:val="22"/>
              </w:rPr>
              <w:t>社会保险记录查询打印</w:t>
            </w:r>
          </w:p>
          <w:p>
            <w:pPr>
              <w:pStyle w:val="33"/>
              <w:ind w:right="0" w:rightChars="0"/>
              <w:jc w:val="center"/>
              <w:rPr>
                <w:sz w:val="22"/>
              </w:rPr>
            </w:pPr>
          </w:p>
        </w:tc>
        <w:tc>
          <w:tcPr>
            <w:tcW w:w="2793" w:type="dxa"/>
            <w:gridSpan w:val="3"/>
            <w:vAlign w:val="center"/>
          </w:tcPr>
          <w:p>
            <w:pPr>
              <w:pStyle w:val="33"/>
              <w:spacing w:line="273" w:lineRule="auto"/>
              <w:ind w:right="198" w:rightChars="0"/>
              <w:jc w:val="center"/>
              <w:rPr>
                <w:sz w:val="22"/>
              </w:rPr>
            </w:pPr>
            <w:r>
              <w:rPr>
                <w:sz w:val="22"/>
              </w:rPr>
              <w:t>个人参保缴费证明查询</w:t>
            </w:r>
          </w:p>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打印</w:t>
            </w:r>
          </w:p>
        </w:tc>
        <w:tc>
          <w:tcPr>
            <w:tcW w:w="1163" w:type="dxa"/>
            <w:tcBorders>
              <w:right w:val="single" w:color="auto" w:sz="4" w:space="0"/>
            </w:tcBorders>
            <w:vAlign w:val="center"/>
          </w:tcPr>
          <w:p>
            <w:pPr>
              <w:pStyle w:val="33"/>
              <w:ind w:right="0" w:rightChars="0"/>
              <w:jc w:val="center"/>
              <w:rPr>
                <w:sz w:val="22"/>
                <w:lang w:val="en-US" w:eastAsia="zh-CN"/>
              </w:rPr>
            </w:pP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参保人员失业保险关系迁移证明打印</w:t>
            </w:r>
          </w:p>
        </w:tc>
        <w:tc>
          <w:tcPr>
            <w:tcW w:w="1163" w:type="dxa"/>
            <w:tcBorders>
              <w:right w:val="single" w:color="auto" w:sz="4" w:space="0"/>
            </w:tcBorders>
            <w:vAlign w:val="center"/>
          </w:tcPr>
          <w:p>
            <w:pPr>
              <w:pStyle w:val="33"/>
              <w:ind w:right="0" w:rightChars="0"/>
              <w:jc w:val="center"/>
              <w:rPr>
                <w:sz w:val="22"/>
                <w:lang w:val="en-US" w:eastAsia="zh-CN"/>
              </w:rPr>
            </w:pP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trPr>
        <w:tc>
          <w:tcPr>
            <w:tcW w:w="590" w:type="dxa"/>
            <w:vMerge w:val="continue"/>
            <w:vAlign w:val="center"/>
          </w:tcPr>
          <w:p>
            <w:pPr>
              <w:pStyle w:val="33"/>
              <w:ind w:left="164" w:leftChars="0" w:right="155" w:rightChars="0"/>
              <w:jc w:val="center"/>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ind w:right="0" w:rightChars="0"/>
              <w:jc w:val="center"/>
              <w:rPr>
                <w:sz w:val="22"/>
              </w:rPr>
            </w:pPr>
            <w:r>
              <w:rPr>
                <w:sz w:val="22"/>
              </w:rPr>
              <w:t>个人权益记录查询打印</w:t>
            </w:r>
          </w:p>
        </w:tc>
        <w:tc>
          <w:tcPr>
            <w:tcW w:w="1163" w:type="dxa"/>
            <w:tcBorders>
              <w:right w:val="single" w:color="auto" w:sz="4" w:space="0"/>
            </w:tcBorders>
            <w:vAlign w:val="center"/>
          </w:tcPr>
          <w:p>
            <w:pPr>
              <w:pStyle w:val="33"/>
              <w:ind w:right="0" w:rightChars="0"/>
              <w:jc w:val="center"/>
              <w:rPr>
                <w:sz w:val="22"/>
              </w:rPr>
            </w:pP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exact"/>
        </w:trPr>
        <w:tc>
          <w:tcPr>
            <w:tcW w:w="590" w:type="dxa"/>
            <w:vAlign w:val="center"/>
          </w:tcPr>
          <w:p>
            <w:pPr>
              <w:pStyle w:val="33"/>
              <w:ind w:left="164" w:leftChars="0" w:right="155" w:rightChars="0"/>
              <w:jc w:val="center"/>
              <w:rPr>
                <w:rFonts w:hint="default"/>
                <w:sz w:val="22"/>
                <w:lang w:val="en-US" w:eastAsia="zh-CN"/>
              </w:rPr>
            </w:pPr>
            <w:r>
              <w:rPr>
                <w:rFonts w:hint="eastAsia"/>
                <w:sz w:val="22"/>
                <w:lang w:val="en-US" w:eastAsia="zh-CN"/>
              </w:rPr>
              <w:t>42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143" w:line="271" w:lineRule="auto"/>
              <w:ind w:left="1375" w:leftChars="0" w:right="90" w:rightChars="0" w:hanging="1267" w:firstLineChars="0"/>
              <w:jc w:val="center"/>
              <w:rPr>
                <w:spacing w:val="-2"/>
                <w:sz w:val="22"/>
              </w:rPr>
            </w:pPr>
            <w:r>
              <w:rPr>
                <w:spacing w:val="-18"/>
                <w:sz w:val="22"/>
              </w:rPr>
              <w:t>职工参保登记</w:t>
            </w:r>
            <w:r>
              <w:rPr>
                <w:sz w:val="22"/>
              </w:rPr>
              <w:t>（</w:t>
            </w:r>
            <w:r>
              <w:rPr>
                <w:spacing w:val="-2"/>
                <w:sz w:val="22"/>
              </w:rPr>
              <w:t>灵活就业人员医疗保险</w:t>
            </w:r>
          </w:p>
          <w:p>
            <w:pPr>
              <w:pStyle w:val="33"/>
              <w:spacing w:before="143" w:line="271" w:lineRule="auto"/>
              <w:ind w:left="1375" w:leftChars="0" w:right="90" w:rightChars="0" w:hanging="1267" w:firstLineChars="0"/>
              <w:jc w:val="center"/>
              <w:rPr>
                <w:rFonts w:ascii="仿宋_GB2312" w:hAnsi="仿宋_GB2312" w:eastAsia="仿宋_GB2312" w:cs="仿宋_GB2312"/>
                <w:sz w:val="22"/>
                <w:szCs w:val="22"/>
                <w:lang w:val="en-US" w:eastAsia="zh-CN" w:bidi="ar-SA"/>
              </w:rPr>
            </w:pPr>
            <w:r>
              <w:rPr>
                <w:sz w:val="22"/>
              </w:rPr>
              <w:t>参保登记）</w:t>
            </w:r>
          </w:p>
        </w:tc>
        <w:tc>
          <w:tcPr>
            <w:tcW w:w="1163" w:type="dxa"/>
            <w:tcBorders>
              <w:right w:val="single" w:color="auto" w:sz="4" w:space="0"/>
            </w:tcBorders>
            <w:vAlign w:val="center"/>
          </w:tcPr>
          <w:p>
            <w:pPr>
              <w:pStyle w:val="33"/>
              <w:ind w:right="0" w:rightChars="0"/>
              <w:jc w:val="center"/>
              <w:rPr>
                <w:sz w:val="22"/>
              </w:rPr>
            </w:pPr>
          </w:p>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exact"/>
        </w:trPr>
        <w:tc>
          <w:tcPr>
            <w:tcW w:w="590" w:type="dxa"/>
            <w:vMerge w:val="restart"/>
            <w:vAlign w:val="center"/>
          </w:tcPr>
          <w:p>
            <w:pPr>
              <w:pStyle w:val="33"/>
              <w:ind w:left="164" w:leftChars="0" w:right="155" w:rightChars="0"/>
              <w:jc w:val="center"/>
              <w:rPr>
                <w:rFonts w:hint="default"/>
                <w:sz w:val="22"/>
                <w:lang w:val="en-US" w:eastAsia="zh-CN"/>
              </w:rPr>
            </w:pPr>
            <w:r>
              <w:rPr>
                <w:rFonts w:hint="eastAsia"/>
                <w:sz w:val="22"/>
                <w:lang w:val="en-US" w:eastAsia="zh-CN"/>
              </w:rPr>
              <w:t>43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jc w:val="center"/>
              <w:rPr>
                <w:rFonts w:ascii="宋体"/>
                <w:sz w:val="22"/>
              </w:rPr>
            </w:pPr>
          </w:p>
          <w:p>
            <w:pPr>
              <w:pStyle w:val="33"/>
              <w:spacing w:line="271" w:lineRule="auto"/>
              <w:ind w:right="153" w:rightChars="0"/>
              <w:jc w:val="center"/>
              <w:rPr>
                <w:rFonts w:ascii="仿宋_GB2312" w:hAnsi="仿宋_GB2312" w:eastAsia="仿宋_GB2312" w:cs="仿宋_GB2312"/>
                <w:sz w:val="22"/>
                <w:szCs w:val="22"/>
                <w:lang w:val="en-US" w:eastAsia="zh-CN" w:bidi="ar-SA"/>
              </w:rPr>
            </w:pPr>
            <w:r>
              <w:rPr>
                <w:sz w:val="22"/>
              </w:rPr>
              <w:t>基本医疗保险关系转移接续</w:t>
            </w:r>
          </w:p>
          <w:p>
            <w:pPr>
              <w:pStyle w:val="33"/>
              <w:ind w:right="0" w:rightChars="0"/>
              <w:jc w:val="center"/>
              <w:rPr>
                <w:sz w:val="22"/>
              </w:rPr>
            </w:pPr>
          </w:p>
        </w:tc>
        <w:tc>
          <w:tcPr>
            <w:tcW w:w="2793" w:type="dxa"/>
            <w:gridSpan w:val="3"/>
            <w:vAlign w:val="center"/>
          </w:tcPr>
          <w:p>
            <w:pPr>
              <w:pStyle w:val="33"/>
              <w:ind w:left="0" w:leftChars="0" w:right="199" w:rightChars="0"/>
              <w:jc w:val="center"/>
              <w:rPr>
                <w:rFonts w:ascii="仿宋_GB2312" w:hAnsi="仿宋_GB2312" w:eastAsia="仿宋_GB2312" w:cs="仿宋_GB2312"/>
                <w:sz w:val="22"/>
                <w:szCs w:val="22"/>
                <w:lang w:val="en-US" w:eastAsia="zh-CN" w:bidi="ar-SA"/>
              </w:rPr>
            </w:pPr>
            <w:r>
              <w:rPr>
                <w:sz w:val="22"/>
              </w:rPr>
              <w:t>医疗保险关系转出</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
              <w:ind w:left="0" w:leftChars="0" w:right="199" w:rightChars="0"/>
              <w:jc w:val="center"/>
              <w:rPr>
                <w:rFonts w:ascii="仿宋_GB2312" w:hAnsi="仿宋_GB2312" w:eastAsia="仿宋_GB2312" w:cs="仿宋_GB2312"/>
                <w:sz w:val="22"/>
                <w:szCs w:val="22"/>
                <w:lang w:val="en-US" w:eastAsia="zh-CN" w:bidi="ar-SA"/>
              </w:rPr>
            </w:pPr>
            <w:r>
              <w:rPr>
                <w:sz w:val="22"/>
              </w:rPr>
              <w:t>医疗保险关系转入</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44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4.3</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社会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9"/>
                <w:sz w:val="22"/>
              </w:rPr>
              <w:t>保障</w:t>
            </w:r>
          </w:p>
        </w:tc>
        <w:tc>
          <w:tcPr>
            <w:tcW w:w="4056" w:type="dxa"/>
            <w:gridSpan w:val="4"/>
            <w:vAlign w:val="center"/>
          </w:tcPr>
          <w:p>
            <w:pPr>
              <w:pStyle w:val="33"/>
              <w:spacing w:line="271" w:lineRule="auto"/>
              <w:ind w:right="147" w:rightChars="0"/>
              <w:jc w:val="center"/>
              <w:rPr>
                <w:rFonts w:ascii="仿宋_GB2312" w:hAnsi="仿宋_GB2312" w:eastAsia="仿宋_GB2312" w:cs="仿宋_GB2312"/>
                <w:sz w:val="22"/>
                <w:szCs w:val="22"/>
                <w:lang w:val="en-US" w:eastAsia="zh-CN" w:bidi="ar-SA"/>
              </w:rPr>
            </w:pPr>
            <w:r>
              <w:rPr>
                <w:sz w:val="22"/>
              </w:rPr>
              <w:t>医疗保险参保人员个人账户一次性支取</w:t>
            </w:r>
          </w:p>
        </w:tc>
        <w:tc>
          <w:tcPr>
            <w:tcW w:w="1163" w:type="dxa"/>
            <w:tcBorders>
              <w:right w:val="single" w:color="auto" w:sz="4" w:space="0"/>
            </w:tcBorders>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人</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力资</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源和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社会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保障</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局</w:t>
            </w:r>
          </w:p>
        </w:tc>
        <w:tc>
          <w:tcPr>
            <w:tcW w:w="1552" w:type="dxa"/>
            <w:tcBorders>
              <w:left w:val="single" w:color="auto" w:sz="4" w:space="0"/>
            </w:tcBorders>
            <w:vAlign w:val="center"/>
          </w:tcPr>
          <w:p>
            <w:pPr>
              <w:jc w:val="center"/>
            </w:pPr>
          </w:p>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45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医疗保险缴费证明打印</w:t>
            </w:r>
          </w:p>
        </w:tc>
        <w:tc>
          <w:tcPr>
            <w:tcW w:w="1163" w:type="dxa"/>
            <w:tcBorders>
              <w:right w:val="single" w:color="auto" w:sz="4" w:space="0"/>
            </w:tcBorders>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46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住房公积金缴存</w:t>
            </w:r>
          </w:p>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住房公积金个人账户信息变更</w:t>
            </w:r>
          </w:p>
        </w:tc>
        <w:tc>
          <w:tcPr>
            <w:tcW w:w="1163" w:type="dxa"/>
            <w:tcBorders>
              <w:right w:val="single" w:color="auto" w:sz="4" w:space="0"/>
            </w:tcBorders>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restart"/>
            <w:vAlign w:val="center"/>
          </w:tcPr>
          <w:p>
            <w:pPr>
              <w:pStyle w:val="33"/>
              <w:spacing w:before="136" w:line="273" w:lineRule="auto"/>
              <w:ind w:right="198" w:rightChars="0"/>
              <w:jc w:val="center"/>
              <w:rPr>
                <w:sz w:val="22"/>
              </w:rPr>
            </w:pPr>
            <w:r>
              <w:rPr>
                <w:rFonts w:hint="eastAsia"/>
                <w:sz w:val="22"/>
                <w:lang w:val="en-US" w:eastAsia="zh-CN"/>
              </w:rPr>
              <w:t xml:space="preserve"> </w:t>
            </w:r>
            <w:r>
              <w:rPr>
                <w:sz w:val="22"/>
              </w:rPr>
              <w:t>4</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工</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作</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住房公积金个人账户封存、启封</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21" w:line="271" w:lineRule="auto"/>
              <w:ind w:right="198" w:rightChars="0"/>
              <w:jc w:val="center"/>
              <w:rPr>
                <w:rFonts w:ascii="仿宋_GB2312" w:hAnsi="仿宋_GB2312" w:eastAsia="仿宋_GB2312" w:cs="仿宋_GB2312"/>
                <w:sz w:val="22"/>
                <w:szCs w:val="22"/>
                <w:lang w:val="en-US" w:eastAsia="zh-CN" w:bidi="ar-SA"/>
              </w:rPr>
            </w:pPr>
            <w:r>
              <w:rPr>
                <w:sz w:val="22"/>
              </w:rPr>
              <w:t>住房公积金异地转移</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36" w:line="273" w:lineRule="auto"/>
              <w:ind w:right="198" w:rightChars="0"/>
              <w:jc w:val="center"/>
              <w:rPr>
                <w:rFonts w:ascii="仿宋_GB2312" w:hAnsi="仿宋_GB2312" w:eastAsia="仿宋_GB2312" w:cs="仿宋_GB2312"/>
                <w:sz w:val="22"/>
                <w:szCs w:val="22"/>
                <w:lang w:val="en-US" w:eastAsia="zh-CN" w:bidi="ar-SA"/>
              </w:rPr>
            </w:pPr>
            <w:r>
              <w:rPr>
                <w:sz w:val="22"/>
              </w:rPr>
              <w:t>住房公积金同城转移</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59" w:line="271" w:lineRule="auto"/>
              <w:ind w:right="198" w:rightChars="0"/>
              <w:jc w:val="center"/>
              <w:rPr>
                <w:rFonts w:ascii="仿宋_GB2312" w:hAnsi="仿宋_GB2312" w:eastAsia="仿宋_GB2312" w:cs="仿宋_GB2312"/>
                <w:sz w:val="22"/>
                <w:szCs w:val="22"/>
                <w:lang w:val="en-US" w:eastAsia="zh-CN" w:bidi="ar-SA"/>
              </w:rPr>
            </w:pPr>
            <w:r>
              <w:rPr>
                <w:sz w:val="22"/>
              </w:rPr>
              <w:t>开具职工住房公积金缴存证明</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66" w:line="271" w:lineRule="auto"/>
              <w:ind w:right="198" w:rightChars="0"/>
              <w:jc w:val="center"/>
              <w:rPr>
                <w:rFonts w:ascii="仿宋_GB2312" w:hAnsi="仿宋_GB2312" w:eastAsia="仿宋_GB2312" w:cs="仿宋_GB2312"/>
                <w:sz w:val="22"/>
                <w:szCs w:val="22"/>
                <w:lang w:val="en-US" w:eastAsia="zh-CN" w:bidi="ar-SA"/>
              </w:rPr>
            </w:pPr>
            <w:r>
              <w:rPr>
                <w:sz w:val="22"/>
              </w:rPr>
              <w:t>出具贷款职工住房公积金缴存使用证明</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p>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 xml:space="preserve"> 47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145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工伤认定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spacing w:before="13" w:line="277" w:lineRule="exact"/>
              <w:ind w:left="164" w:right="155"/>
              <w:jc w:val="center"/>
              <w:rPr>
                <w:sz w:val="22"/>
              </w:rPr>
            </w:pPr>
          </w:p>
          <w:p>
            <w:pPr>
              <w:pStyle w:val="33"/>
              <w:spacing w:before="13" w:line="277" w:lineRule="exact"/>
              <w:ind w:left="164" w:leftChars="0" w:right="155" w:rightChars="0"/>
              <w:jc w:val="center"/>
              <w:rPr>
                <w:rFonts w:hint="eastAsia" w:ascii="仿宋_GB2312" w:hAnsi="仿宋_GB2312" w:eastAsia="仿宋_GB2312" w:cs="仿宋_GB2312"/>
                <w:sz w:val="22"/>
                <w:szCs w:val="22"/>
                <w:lang w:val="en-US" w:eastAsia="zh-CN" w:bidi="ar-SA"/>
              </w:rPr>
            </w:pPr>
            <w:r>
              <w:rPr>
                <w:sz w:val="22"/>
              </w:rPr>
              <w:t>4</w:t>
            </w:r>
            <w:r>
              <w:rPr>
                <w:rFonts w:hint="eastAsia"/>
                <w:sz w:val="22"/>
                <w:lang w:val="en-US" w:eastAsia="zh-CN"/>
              </w:rPr>
              <w:t>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工伤职工劳动能力鉴定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trPr>
        <w:tc>
          <w:tcPr>
            <w:tcW w:w="590" w:type="dxa"/>
            <w:vAlign w:val="center"/>
          </w:tcPr>
          <w:p>
            <w:pPr>
              <w:pStyle w:val="33"/>
              <w:spacing w:before="13" w:line="276" w:lineRule="exact"/>
              <w:ind w:left="164" w:right="155"/>
              <w:jc w:val="center"/>
              <w:rPr>
                <w:sz w:val="22"/>
              </w:rPr>
            </w:pPr>
          </w:p>
          <w:p>
            <w:pPr>
              <w:pStyle w:val="33"/>
              <w:spacing w:before="13" w:line="276" w:lineRule="exact"/>
              <w:ind w:left="164" w:leftChars="0" w:right="155"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49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工伤职工劳动能力复查鉴定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exact"/>
        </w:trPr>
        <w:tc>
          <w:tcPr>
            <w:tcW w:w="590" w:type="dxa"/>
            <w:vAlign w:val="center"/>
          </w:tcPr>
          <w:p>
            <w:pPr>
              <w:pStyle w:val="33"/>
              <w:spacing w:before="9"/>
              <w:jc w:val="center"/>
              <w:rPr>
                <w:rFonts w:ascii="宋体"/>
                <w:sz w:val="28"/>
              </w:rPr>
            </w:pPr>
          </w:p>
          <w:p>
            <w:pPr>
              <w:pStyle w:val="33"/>
              <w:ind w:left="164" w:leftChars="0" w:right="155" w:rightChars="0"/>
              <w:jc w:val="center"/>
              <w:rPr>
                <w:rFonts w:hint="eastAsia" w:ascii="仿宋_GB2312" w:hAnsi="仿宋_GB2312" w:eastAsia="仿宋_GB2312" w:cs="仿宋_GB2312"/>
                <w:sz w:val="22"/>
                <w:szCs w:val="22"/>
                <w:lang w:val="en-US" w:eastAsia="zh-CN" w:bidi="ar-SA"/>
              </w:rPr>
            </w:pPr>
            <w:r>
              <w:rPr>
                <w:sz w:val="22"/>
              </w:rPr>
              <w:t>5</w:t>
            </w:r>
            <w:r>
              <w:rPr>
                <w:rFonts w:hint="eastAsia"/>
                <w:sz w:val="22"/>
                <w:lang w:val="en-US" w:eastAsia="zh-CN"/>
              </w:rPr>
              <w:t>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3" w:lineRule="auto"/>
              <w:ind w:right="147" w:rightChars="0"/>
              <w:jc w:val="center"/>
              <w:rPr>
                <w:sz w:val="22"/>
              </w:rPr>
            </w:pPr>
            <w:r>
              <w:rPr>
                <w:sz w:val="22"/>
              </w:rPr>
              <w:t>职工非因工伤残或因病丧失劳动能力</w:t>
            </w:r>
          </w:p>
          <w:p>
            <w:pPr>
              <w:pStyle w:val="33"/>
              <w:spacing w:line="273" w:lineRule="auto"/>
              <w:ind w:right="147" w:rightChars="0"/>
              <w:jc w:val="center"/>
              <w:rPr>
                <w:rFonts w:ascii="仿宋_GB2312" w:hAnsi="仿宋_GB2312" w:eastAsia="仿宋_GB2312" w:cs="仿宋_GB2312"/>
                <w:sz w:val="22"/>
                <w:szCs w:val="22"/>
                <w:lang w:val="en-US" w:eastAsia="zh-CN" w:bidi="ar-SA"/>
              </w:rPr>
            </w:pPr>
            <w:r>
              <w:rPr>
                <w:sz w:val="22"/>
              </w:rPr>
              <w:t>程度鉴定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exact"/>
        </w:trPr>
        <w:tc>
          <w:tcPr>
            <w:tcW w:w="590" w:type="dxa"/>
            <w:vMerge w:val="restart"/>
            <w:vAlign w:val="center"/>
          </w:tcPr>
          <w:p>
            <w:pPr>
              <w:pStyle w:val="33"/>
              <w:ind w:right="0" w:rightChars="0"/>
              <w:jc w:val="center"/>
              <w:rPr>
                <w:rFonts w:hint="eastAsia" w:ascii="仿宋_GB2312" w:hAnsi="仿宋_GB2312" w:eastAsia="仿宋_GB2312" w:cs="仿宋_GB2312"/>
                <w:sz w:val="22"/>
                <w:szCs w:val="22"/>
                <w:lang w:val="en-US" w:eastAsia="zh-CN" w:bidi="ar-SA"/>
              </w:rPr>
            </w:pPr>
            <w:r>
              <w:rPr>
                <w:sz w:val="22"/>
              </w:rPr>
              <w:t>5</w:t>
            </w:r>
            <w:r>
              <w:rPr>
                <w:rFonts w:hint="eastAsia"/>
                <w:sz w:val="22"/>
                <w:lang w:val="en-US" w:eastAsia="zh-CN"/>
              </w:rPr>
              <w:t>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line="273" w:lineRule="auto"/>
              <w:ind w:right="153" w:rightChars="0"/>
              <w:jc w:val="center"/>
              <w:rPr>
                <w:sz w:val="22"/>
              </w:rPr>
            </w:pPr>
            <w:r>
              <w:rPr>
                <w:rFonts w:hint="eastAsia"/>
                <w:sz w:val="22"/>
                <w:lang w:val="en-US" w:eastAsia="zh-CN"/>
              </w:rPr>
              <w:t xml:space="preserve"> </w:t>
            </w:r>
            <w:r>
              <w:rPr>
                <w:sz w:val="22"/>
              </w:rPr>
              <w:t>流动人员人事管理</w:t>
            </w:r>
          </w:p>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服务</w:t>
            </w:r>
          </w:p>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流动人员人事档案接收</w:t>
            </w:r>
          </w:p>
        </w:tc>
        <w:tc>
          <w:tcPr>
            <w:tcW w:w="1163" w:type="dxa"/>
            <w:tcBorders>
              <w:right w:val="single" w:color="auto" w:sz="4" w:space="0"/>
            </w:tcBorders>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78" w:line="273" w:lineRule="auto"/>
              <w:ind w:right="198" w:rightChars="0"/>
              <w:jc w:val="center"/>
              <w:rPr>
                <w:rFonts w:ascii="仿宋_GB2312" w:hAnsi="仿宋_GB2312" w:eastAsia="仿宋_GB2312" w:cs="仿宋_GB2312"/>
                <w:sz w:val="22"/>
                <w:szCs w:val="22"/>
                <w:lang w:val="en-US" w:eastAsia="zh-CN" w:bidi="ar-SA"/>
              </w:rPr>
            </w:pPr>
            <w:r>
              <w:rPr>
                <w:sz w:val="22"/>
              </w:rPr>
              <w:t>流动人员人事档案转出</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keepNext w:val="0"/>
              <w:keepLines w:val="0"/>
              <w:pageBreakBefore w:val="0"/>
              <w:widowControl w:val="0"/>
              <w:kinsoku/>
              <w:wordWrap/>
              <w:overflowPunct/>
              <w:topLinePunct w:val="0"/>
              <w:autoSpaceDE w:val="0"/>
              <w:autoSpaceDN w:val="0"/>
              <w:bidi w:val="0"/>
              <w:adjustRightInd/>
              <w:snapToGrid/>
              <w:spacing w:before="178" w:line="180" w:lineRule="exact"/>
              <w:ind w:right="198" w:rightChars="0"/>
              <w:jc w:val="center"/>
              <w:textAlignment w:val="auto"/>
              <w:rPr>
                <w:sz w:val="22"/>
              </w:rPr>
            </w:pPr>
            <w:r>
              <w:rPr>
                <w:sz w:val="22"/>
              </w:rPr>
              <w:t>流动人员人事档案材料</w:t>
            </w:r>
          </w:p>
          <w:p>
            <w:pPr>
              <w:pStyle w:val="33"/>
              <w:keepNext w:val="0"/>
              <w:keepLines w:val="0"/>
              <w:pageBreakBefore w:val="0"/>
              <w:widowControl w:val="0"/>
              <w:kinsoku/>
              <w:wordWrap/>
              <w:overflowPunct/>
              <w:topLinePunct w:val="0"/>
              <w:autoSpaceDE w:val="0"/>
              <w:autoSpaceDN w:val="0"/>
              <w:bidi w:val="0"/>
              <w:adjustRightInd/>
              <w:snapToGrid/>
              <w:spacing w:before="178" w:line="180" w:lineRule="exact"/>
              <w:ind w:right="198" w:rightChars="0"/>
              <w:jc w:val="center"/>
              <w:textAlignment w:val="auto"/>
              <w:rPr>
                <w:rFonts w:ascii="仿宋_GB2312" w:hAnsi="仿宋_GB2312" w:eastAsia="仿宋_GB2312" w:cs="仿宋_GB2312"/>
                <w:sz w:val="22"/>
                <w:szCs w:val="22"/>
                <w:lang w:val="en-US" w:eastAsia="zh-CN" w:bidi="ar-SA"/>
              </w:rPr>
            </w:pPr>
            <w:r>
              <w:rPr>
                <w:sz w:val="22"/>
              </w:rPr>
              <w:t>收集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keepNext w:val="0"/>
              <w:keepLines w:val="0"/>
              <w:pageBreakBefore w:val="0"/>
              <w:widowControl w:val="0"/>
              <w:kinsoku/>
              <w:wordWrap/>
              <w:overflowPunct/>
              <w:topLinePunct w:val="0"/>
              <w:autoSpaceDE w:val="0"/>
              <w:autoSpaceDN w:val="0"/>
              <w:bidi w:val="0"/>
              <w:adjustRightInd/>
              <w:snapToGrid/>
              <w:spacing w:before="184" w:line="120" w:lineRule="exact"/>
              <w:ind w:right="198" w:rightChars="0"/>
              <w:jc w:val="center"/>
              <w:textAlignment w:val="auto"/>
              <w:rPr>
                <w:sz w:val="22"/>
              </w:rPr>
            </w:pPr>
            <w:r>
              <w:rPr>
                <w:sz w:val="22"/>
              </w:rPr>
              <w:t>流动人员人事档案</w:t>
            </w:r>
          </w:p>
          <w:p>
            <w:pPr>
              <w:pStyle w:val="33"/>
              <w:keepNext w:val="0"/>
              <w:keepLines w:val="0"/>
              <w:pageBreakBefore w:val="0"/>
              <w:widowControl w:val="0"/>
              <w:kinsoku/>
              <w:wordWrap/>
              <w:overflowPunct/>
              <w:topLinePunct w:val="0"/>
              <w:autoSpaceDE w:val="0"/>
              <w:autoSpaceDN w:val="0"/>
              <w:bidi w:val="0"/>
              <w:adjustRightInd/>
              <w:snapToGrid/>
              <w:spacing w:before="184" w:line="120" w:lineRule="exact"/>
              <w:ind w:right="198" w:rightChars="0"/>
              <w:jc w:val="center"/>
              <w:textAlignment w:val="auto"/>
              <w:rPr>
                <w:rFonts w:ascii="仿宋_GB2312" w:hAnsi="仿宋_GB2312" w:eastAsia="仿宋_GB2312" w:cs="仿宋_GB2312"/>
                <w:sz w:val="22"/>
                <w:szCs w:val="22"/>
                <w:lang w:val="en-US" w:eastAsia="zh-CN" w:bidi="ar-SA"/>
              </w:rPr>
            </w:pPr>
            <w:r>
              <w:rPr>
                <w:sz w:val="22"/>
              </w:rPr>
              <w:t>借（查）阅</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pStyle w:val="33"/>
              <w:ind w:right="127" w:rightChars="0"/>
              <w:jc w:val="center"/>
              <w:rPr>
                <w:rFonts w:hint="eastAsia"/>
                <w:sz w:val="22"/>
                <w:lang w:val="en-US" w:eastAsia="zh-CN"/>
              </w:rPr>
            </w:pPr>
            <w:r>
              <w:rPr>
                <w:rFonts w:hint="eastAsia"/>
                <w:lang w:val="en-US" w:eastAsia="zh-CN"/>
              </w:rPr>
              <w:t>县</w:t>
            </w:r>
            <w:r>
              <w:t>人力资源和社会保障局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52</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jc w:val="center"/>
              <w:rPr>
                <w:rFonts w:ascii="宋体"/>
                <w:sz w:val="22"/>
              </w:rPr>
            </w:pPr>
          </w:p>
          <w:p>
            <w:pPr>
              <w:pStyle w:val="33"/>
              <w:jc w:val="center"/>
              <w:rPr>
                <w:rFonts w:ascii="宋体"/>
                <w:sz w:val="22"/>
              </w:rPr>
            </w:pPr>
          </w:p>
          <w:p>
            <w:pPr>
              <w:pStyle w:val="33"/>
              <w:spacing w:before="1"/>
              <w:jc w:val="center"/>
              <w:rPr>
                <w:rFonts w:ascii="宋体"/>
                <w:sz w:val="16"/>
              </w:rPr>
            </w:pPr>
          </w:p>
          <w:p>
            <w:pPr>
              <w:pStyle w:val="33"/>
              <w:ind w:right="99"/>
              <w:jc w:val="center"/>
              <w:rPr>
                <w:sz w:val="22"/>
              </w:rPr>
            </w:pPr>
            <w:r>
              <w:rPr>
                <w:sz w:val="22"/>
              </w:rPr>
              <w:t>4.4</w:t>
            </w:r>
          </w:p>
          <w:p>
            <w:pPr>
              <w:pStyle w:val="33"/>
              <w:spacing w:before="7"/>
              <w:ind w:left="110" w:leftChars="0" w:right="99" w:rightChars="0"/>
              <w:jc w:val="center"/>
              <w:rPr>
                <w:rFonts w:ascii="仿宋_GB2312" w:hAnsi="仿宋_GB2312" w:eastAsia="仿宋_GB2312" w:cs="仿宋_GB2312"/>
                <w:sz w:val="22"/>
                <w:szCs w:val="22"/>
                <w:lang w:val="en-US" w:eastAsia="zh-CN" w:bidi="ar-SA"/>
              </w:rPr>
            </w:pPr>
            <w:r>
              <w:rPr>
                <w:sz w:val="22"/>
              </w:rPr>
              <w:t>失业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72" w:line="273" w:lineRule="auto"/>
              <w:ind w:right="153" w:rightChars="0"/>
              <w:jc w:val="center"/>
              <w:rPr>
                <w:rFonts w:ascii="仿宋_GB2312" w:hAnsi="仿宋_GB2312" w:eastAsia="仿宋_GB2312" w:cs="仿宋_GB2312"/>
                <w:sz w:val="22"/>
                <w:szCs w:val="22"/>
                <w:lang w:val="en-US" w:eastAsia="zh-CN" w:bidi="ar-SA"/>
              </w:rPr>
            </w:pPr>
            <w:r>
              <w:rPr>
                <w:sz w:val="22"/>
              </w:rPr>
              <w:t>开展就业失业登记工作</w:t>
            </w:r>
          </w:p>
          <w:p>
            <w:pPr>
              <w:pStyle w:val="33"/>
              <w:ind w:right="0" w:rightChars="0"/>
              <w:jc w:val="center"/>
              <w:rPr>
                <w:sz w:val="22"/>
              </w:rPr>
            </w:pPr>
          </w:p>
        </w:tc>
        <w:tc>
          <w:tcPr>
            <w:tcW w:w="2793" w:type="dxa"/>
            <w:gridSpan w:val="3"/>
            <w:vAlign w:val="center"/>
          </w:tcPr>
          <w:p>
            <w:pPr>
              <w:pStyle w:val="33"/>
              <w:spacing w:line="273" w:lineRule="auto"/>
              <w:ind w:right="198" w:rightChars="0"/>
              <w:jc w:val="center"/>
              <w:rPr>
                <w:sz w:val="22"/>
              </w:rPr>
            </w:pPr>
            <w:r>
              <w:rPr>
                <w:sz w:val="22"/>
              </w:rPr>
              <w:t>个体经营或者灵活就业</w:t>
            </w:r>
          </w:p>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人员失业登记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pStyle w:val="33"/>
              <w:spacing w:line="273" w:lineRule="auto"/>
              <w:ind w:right="164" w:rightChars="0"/>
              <w:jc w:val="center"/>
              <w:rPr>
                <w:sz w:val="22"/>
              </w:rPr>
            </w:pPr>
            <w:r>
              <w:rPr>
                <w:rFonts w:hint="eastAsia"/>
                <w:sz w:val="22"/>
                <w:lang w:val="en-US" w:eastAsia="zh-CN"/>
              </w:rPr>
              <w:t>县</w:t>
            </w:r>
            <w:r>
              <w:rPr>
                <w:sz w:val="22"/>
              </w:rPr>
              <w:t>人</w:t>
            </w:r>
          </w:p>
          <w:p>
            <w:pPr>
              <w:pStyle w:val="33"/>
              <w:spacing w:line="273" w:lineRule="auto"/>
              <w:ind w:right="164" w:rightChars="0"/>
              <w:jc w:val="center"/>
              <w:rPr>
                <w:sz w:val="22"/>
              </w:rPr>
            </w:pPr>
            <w:r>
              <w:rPr>
                <w:sz w:val="22"/>
              </w:rPr>
              <w:t>力资</w:t>
            </w:r>
          </w:p>
          <w:p>
            <w:pPr>
              <w:pStyle w:val="33"/>
              <w:spacing w:line="273" w:lineRule="auto"/>
              <w:ind w:right="164" w:rightChars="0"/>
              <w:jc w:val="center"/>
              <w:rPr>
                <w:sz w:val="22"/>
              </w:rPr>
            </w:pPr>
            <w:r>
              <w:rPr>
                <w:sz w:val="22"/>
              </w:rPr>
              <w:t>源和</w:t>
            </w:r>
          </w:p>
          <w:p>
            <w:pPr>
              <w:pStyle w:val="33"/>
              <w:spacing w:line="273" w:lineRule="auto"/>
              <w:ind w:right="164" w:rightChars="0"/>
              <w:jc w:val="center"/>
              <w:rPr>
                <w:sz w:val="22"/>
              </w:rPr>
            </w:pPr>
            <w:r>
              <w:rPr>
                <w:sz w:val="22"/>
              </w:rPr>
              <w:t>社会</w:t>
            </w:r>
          </w:p>
          <w:p>
            <w:pPr>
              <w:pStyle w:val="33"/>
              <w:spacing w:line="273" w:lineRule="auto"/>
              <w:ind w:right="164" w:rightChars="0"/>
              <w:jc w:val="center"/>
              <w:rPr>
                <w:sz w:val="22"/>
              </w:rPr>
            </w:pPr>
            <w:r>
              <w:rPr>
                <w:sz w:val="22"/>
              </w:rPr>
              <w:t>保障</w:t>
            </w:r>
          </w:p>
          <w:p>
            <w:pPr>
              <w:pStyle w:val="33"/>
              <w:spacing w:line="273" w:lineRule="auto"/>
              <w:ind w:right="164" w:rightChars="0"/>
              <w:jc w:val="center"/>
              <w:rPr>
                <w:rFonts w:ascii="仿宋_GB2312" w:hAnsi="仿宋_GB2312" w:eastAsia="仿宋_GB2312" w:cs="仿宋_GB2312"/>
                <w:sz w:val="22"/>
                <w:szCs w:val="22"/>
                <w:lang w:val="en-US" w:eastAsia="zh-CN" w:bidi="ar-SA"/>
              </w:rPr>
            </w:pPr>
            <w:r>
              <w:rPr>
                <w:sz w:val="22"/>
              </w:rPr>
              <w:t>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 w:line="273" w:lineRule="auto"/>
              <w:ind w:right="198" w:rightChars="0"/>
              <w:jc w:val="center"/>
              <w:rPr>
                <w:sz w:val="22"/>
              </w:rPr>
            </w:pPr>
            <w:r>
              <w:rPr>
                <w:sz w:val="22"/>
              </w:rPr>
              <w:t>单位就业转失业人员</w:t>
            </w:r>
          </w:p>
          <w:p>
            <w:pPr>
              <w:pStyle w:val="33"/>
              <w:spacing w:before="1" w:line="273" w:lineRule="auto"/>
              <w:ind w:right="198" w:rightChars="0"/>
              <w:jc w:val="center"/>
              <w:rPr>
                <w:rFonts w:ascii="仿宋_GB2312" w:hAnsi="仿宋_GB2312" w:eastAsia="仿宋_GB2312" w:cs="仿宋_GB2312"/>
                <w:sz w:val="22"/>
                <w:szCs w:val="22"/>
                <w:lang w:val="en-US" w:eastAsia="zh-CN" w:bidi="ar-SA"/>
              </w:rPr>
            </w:pPr>
            <w:r>
              <w:rPr>
                <w:sz w:val="22"/>
              </w:rPr>
              <w:t>失业登记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2793" w:type="dxa"/>
            <w:gridSpan w:val="3"/>
            <w:vAlign w:val="center"/>
          </w:tcPr>
          <w:p>
            <w:pPr>
              <w:pStyle w:val="33"/>
              <w:spacing w:before="1" w:line="273" w:lineRule="auto"/>
              <w:ind w:right="198" w:rightChars="0"/>
              <w:jc w:val="center"/>
              <w:rPr>
                <w:rFonts w:ascii="仿宋_GB2312" w:hAnsi="仿宋_GB2312" w:eastAsia="仿宋_GB2312" w:cs="仿宋_GB2312"/>
                <w:sz w:val="22"/>
                <w:szCs w:val="22"/>
                <w:lang w:val="en-US" w:eastAsia="zh-CN" w:bidi="ar-SA"/>
              </w:rPr>
            </w:pPr>
            <w:r>
              <w:rPr>
                <w:sz w:val="22"/>
              </w:rPr>
              <w:t>无就业经历人员失业登记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失业保险金申领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54</w:t>
            </w:r>
          </w:p>
        </w:tc>
        <w:tc>
          <w:tcPr>
            <w:tcW w:w="507" w:type="dxa"/>
            <w:vMerge w:val="restart"/>
            <w:vAlign w:val="center"/>
          </w:tcPr>
          <w:p>
            <w:pPr>
              <w:pStyle w:val="33"/>
              <w:ind w:left="185"/>
              <w:jc w:val="both"/>
              <w:rPr>
                <w:sz w:val="22"/>
              </w:rPr>
            </w:pPr>
            <w:r>
              <w:rPr>
                <w:sz w:val="22"/>
              </w:rPr>
              <w:t>5</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置</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业</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5.1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购置</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9"/>
                <w:sz w:val="22"/>
              </w:rPr>
              <w:t>新房</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新建商品房交易合同网签备案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自</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然资</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源和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规划</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局</w:t>
            </w:r>
          </w:p>
        </w:tc>
        <w:tc>
          <w:tcPr>
            <w:tcW w:w="1552" w:type="dxa"/>
            <w:tcBorders>
              <w:left w:val="single" w:color="auto" w:sz="4" w:space="0"/>
            </w:tcBorders>
            <w:vAlign w:val="center"/>
          </w:tcPr>
          <w:p>
            <w:pPr>
              <w:jc w:val="center"/>
            </w:pPr>
            <w:r>
              <w:rPr>
                <w:rFonts w:hint="eastAsia"/>
                <w:lang w:val="en-US" w:eastAsia="zh-CN"/>
              </w:rPr>
              <w:t>县</w:t>
            </w:r>
            <w:r>
              <w:t>住房和城乡</w:t>
            </w:r>
          </w:p>
          <w:p>
            <w:pPr>
              <w:jc w:val="center"/>
              <w:rPr>
                <w:rFonts w:hint="eastAsia"/>
                <w:lang w:val="en-US" w:eastAsia="zh-CN"/>
              </w:rPr>
            </w:pPr>
            <w: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1449"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契税申报</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不动产登记</w:t>
            </w:r>
          </w:p>
          <w:p>
            <w:pPr>
              <w:pStyle w:val="33"/>
              <w:ind w:right="0" w:rightChars="0"/>
              <w:jc w:val="center"/>
              <w:rPr>
                <w:sz w:val="22"/>
              </w:rPr>
            </w:pPr>
          </w:p>
        </w:tc>
        <w:tc>
          <w:tcPr>
            <w:tcW w:w="2793" w:type="dxa"/>
            <w:gridSpan w:val="3"/>
            <w:vAlign w:val="center"/>
          </w:tcPr>
          <w:p>
            <w:pPr>
              <w:pStyle w:val="33"/>
              <w:ind w:right="198" w:rightChars="0"/>
              <w:jc w:val="center"/>
              <w:rPr>
                <w:rFonts w:ascii="仿宋_GB2312" w:hAnsi="仿宋_GB2312" w:eastAsia="仿宋_GB2312" w:cs="仿宋_GB2312"/>
                <w:sz w:val="22"/>
                <w:szCs w:val="22"/>
                <w:lang w:val="en-US" w:eastAsia="zh-CN" w:bidi="ar-SA"/>
              </w:rPr>
            </w:pPr>
            <w:r>
              <w:rPr>
                <w:sz w:val="22"/>
              </w:rPr>
              <w:t>预告登记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48" w:line="273" w:lineRule="auto"/>
              <w:ind w:right="69"/>
              <w:jc w:val="center"/>
              <w:rPr>
                <w:rFonts w:ascii="仿宋_GB2312" w:hAnsi="仿宋_GB2312" w:eastAsia="仿宋_GB2312" w:cs="仿宋_GB2312"/>
                <w:sz w:val="22"/>
                <w:szCs w:val="22"/>
                <w:lang w:val="en-US" w:eastAsia="zh-CN" w:bidi="ar-SA"/>
              </w:rPr>
            </w:pPr>
            <w:r>
              <w:rPr>
                <w:sz w:val="22"/>
              </w:rPr>
              <w:t>房屋等建筑物、构筑物所有权转移登记（企业-个人）</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ind w:right="198" w:rightChars="0"/>
              <w:jc w:val="center"/>
              <w:rPr>
                <w:rFonts w:ascii="仿宋_GB2312" w:hAnsi="仿宋_GB2312" w:eastAsia="仿宋_GB2312" w:cs="仿宋_GB2312"/>
                <w:sz w:val="22"/>
                <w:szCs w:val="22"/>
                <w:lang w:val="en-US" w:eastAsia="zh-CN" w:bidi="ar-SA"/>
              </w:rPr>
            </w:pPr>
            <w:r>
              <w:rPr>
                <w:sz w:val="22"/>
              </w:rPr>
              <w:t>抵押权登记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pStyle w:val="33"/>
              <w:ind w:left="185"/>
              <w:jc w:val="both"/>
              <w:rPr>
                <w:sz w:val="22"/>
              </w:rPr>
            </w:pPr>
            <w:r>
              <w:rPr>
                <w:sz w:val="22"/>
              </w:rPr>
              <w:t>5.2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购置</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二手</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房</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二手房交易合同网签备案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房产交易纳税申报</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59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97"/>
              <w:ind w:right="0" w:rightChars="0"/>
              <w:jc w:val="center"/>
              <w:rPr>
                <w:rFonts w:ascii="仿宋_GB2312" w:hAnsi="仿宋_GB2312" w:eastAsia="仿宋_GB2312" w:cs="仿宋_GB2312"/>
                <w:sz w:val="22"/>
                <w:szCs w:val="22"/>
                <w:lang w:val="en-US" w:eastAsia="zh-CN" w:bidi="ar-SA"/>
              </w:rPr>
            </w:pPr>
            <w:r>
              <w:rPr>
                <w:sz w:val="22"/>
              </w:rPr>
              <w:t>不动产登记</w:t>
            </w:r>
          </w:p>
        </w:tc>
        <w:tc>
          <w:tcPr>
            <w:tcW w:w="2793" w:type="dxa"/>
            <w:gridSpan w:val="3"/>
            <w:vAlign w:val="center"/>
          </w:tcPr>
          <w:p>
            <w:pPr>
              <w:pStyle w:val="33"/>
              <w:spacing w:before="48" w:line="273" w:lineRule="auto"/>
              <w:ind w:right="69"/>
              <w:jc w:val="center"/>
              <w:rPr>
                <w:rFonts w:ascii="仿宋_GB2312" w:hAnsi="仿宋_GB2312" w:eastAsia="仿宋_GB2312" w:cs="仿宋_GB2312"/>
                <w:sz w:val="22"/>
                <w:szCs w:val="22"/>
                <w:lang w:val="en-US" w:eastAsia="zh-CN" w:bidi="ar-SA"/>
              </w:rPr>
            </w:pPr>
            <w:r>
              <w:rPr>
                <w:sz w:val="22"/>
              </w:rPr>
              <w:t>房屋等建筑物、构筑物所有权转移登记（个人-个人）</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
              <w:ind w:right="198" w:rightChars="0"/>
              <w:jc w:val="center"/>
              <w:rPr>
                <w:rFonts w:ascii="仿宋_GB2312" w:hAnsi="仿宋_GB2312" w:eastAsia="仿宋_GB2312" w:cs="仿宋_GB2312"/>
                <w:sz w:val="22"/>
                <w:szCs w:val="22"/>
                <w:lang w:val="en-US" w:eastAsia="zh-CN" w:bidi="ar-SA"/>
              </w:rPr>
            </w:pPr>
            <w:r>
              <w:rPr>
                <w:sz w:val="22"/>
              </w:rPr>
              <w:t>抵押权登记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5.3</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租赁</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9"/>
                <w:sz w:val="22"/>
              </w:rPr>
              <w:t>住房</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公租房保障对象资格确认</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住</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房和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城乡</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建设</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局</w:t>
            </w:r>
          </w:p>
        </w:tc>
        <w:tc>
          <w:tcPr>
            <w:tcW w:w="1552" w:type="dxa"/>
            <w:tcBorders>
              <w:left w:val="single" w:color="auto" w:sz="4" w:space="0"/>
            </w:tcBorders>
            <w:vAlign w:val="center"/>
          </w:tcPr>
          <w:p>
            <w:pPr>
              <w:jc w:val="center"/>
            </w:pPr>
            <w:r>
              <w:rPr>
                <w:rFonts w:hint="eastAsia"/>
                <w:lang w:val="en-US" w:eastAsia="zh-CN"/>
              </w:rPr>
              <w:t>县</w:t>
            </w:r>
            <w:r>
              <w:t>住房和城乡</w:t>
            </w:r>
          </w:p>
          <w:p>
            <w:pPr>
              <w:jc w:val="center"/>
              <w:rPr>
                <w:rFonts w:hint="eastAsia"/>
                <w:lang w:val="en-US" w:eastAsia="zh-CN"/>
              </w:rPr>
            </w:pPr>
            <w: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公租房租赁补贴资格确认</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住房和城乡</w:t>
            </w:r>
          </w:p>
          <w:p>
            <w:pPr>
              <w:jc w:val="center"/>
              <w:rPr>
                <w:rFonts w:hint="eastAsia"/>
                <w:lang w:val="en-US" w:eastAsia="zh-CN"/>
              </w:rPr>
            </w:pPr>
            <w:r>
              <w:t>建设局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 w:line="273" w:lineRule="auto"/>
              <w:ind w:right="153" w:rightChars="0"/>
              <w:jc w:val="center"/>
              <w:rPr>
                <w:sz w:val="22"/>
              </w:rPr>
            </w:pPr>
            <w:r>
              <w:rPr>
                <w:sz w:val="22"/>
              </w:rPr>
              <w:t>职工申请提取住房公积金的核准</w:t>
            </w:r>
          </w:p>
        </w:tc>
        <w:tc>
          <w:tcPr>
            <w:tcW w:w="2793" w:type="dxa"/>
            <w:gridSpan w:val="3"/>
            <w:vAlign w:val="center"/>
          </w:tcPr>
          <w:p>
            <w:pPr>
              <w:pStyle w:val="33"/>
              <w:spacing w:before="95" w:line="273" w:lineRule="auto"/>
              <w:ind w:right="198" w:rightChars="0"/>
              <w:jc w:val="center"/>
              <w:rPr>
                <w:rFonts w:ascii="仿宋_GB2312" w:hAnsi="仿宋_GB2312" w:eastAsia="仿宋_GB2312" w:cs="仿宋_GB2312"/>
                <w:sz w:val="22"/>
                <w:szCs w:val="22"/>
                <w:lang w:val="en-US" w:eastAsia="zh-CN" w:bidi="ar-SA"/>
              </w:rPr>
            </w:pPr>
            <w:r>
              <w:rPr>
                <w:sz w:val="22"/>
              </w:rPr>
              <w:t>租赁公共租赁住房提取住房公积金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79" w:line="273" w:lineRule="auto"/>
              <w:ind w:right="198" w:rightChars="0"/>
              <w:jc w:val="center"/>
              <w:rPr>
                <w:rFonts w:ascii="仿宋_GB2312" w:hAnsi="仿宋_GB2312" w:eastAsia="仿宋_GB2312" w:cs="仿宋_GB2312"/>
                <w:sz w:val="22"/>
                <w:szCs w:val="22"/>
                <w:lang w:val="en-US" w:eastAsia="zh-CN" w:bidi="ar-SA"/>
              </w:rPr>
            </w:pPr>
            <w:r>
              <w:rPr>
                <w:sz w:val="22"/>
              </w:rPr>
              <w:t>租赁自住住房提取住房公积金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02" w:firstLineChars="100"/>
              <w:jc w:val="both"/>
              <w:textAlignment w:val="auto"/>
              <w:rPr>
                <w:spacing w:val="-9"/>
                <w:sz w:val="22"/>
              </w:rPr>
            </w:pPr>
            <w:r>
              <w:rPr>
                <w:spacing w:val="-9"/>
                <w:sz w:val="22"/>
              </w:rPr>
              <w:t>5.4</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建设</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农房</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rPr>
            </w:pPr>
          </w:p>
          <w:p>
            <w:pPr>
              <w:pStyle w:val="33"/>
              <w:spacing w:line="256" w:lineRule="exact"/>
              <w:ind w:left="130" w:leftChars="0" w:right="0" w:rightChars="0"/>
              <w:jc w:val="center"/>
              <w:rPr>
                <w:sz w:val="22"/>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农村村民住宅用地审核</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restart"/>
            <w:tcBorders>
              <w:left w:val="single" w:color="auto" w:sz="4" w:space="0"/>
              <w:right w:val="single" w:color="auto" w:sz="4" w:space="0"/>
            </w:tcBorders>
            <w:vAlign w:val="center"/>
          </w:tcPr>
          <w:p>
            <w:pPr>
              <w:jc w:val="center"/>
            </w:pPr>
            <w:r>
              <w:rPr>
                <w:rFonts w:hint="eastAsia"/>
                <w:lang w:val="en-US" w:eastAsia="zh-CN"/>
              </w:rPr>
              <w:t>县</w:t>
            </w:r>
            <w:r>
              <w:t>自</w:t>
            </w:r>
          </w:p>
          <w:p>
            <w:pPr>
              <w:jc w:val="center"/>
            </w:pPr>
            <w:r>
              <w:t>然资</w:t>
            </w:r>
          </w:p>
          <w:p>
            <w:pPr>
              <w:jc w:val="center"/>
            </w:pPr>
            <w:r>
              <w:t>源和</w:t>
            </w:r>
          </w:p>
          <w:p>
            <w:pPr>
              <w:jc w:val="center"/>
            </w:pPr>
            <w:r>
              <w:t>规划</w:t>
            </w:r>
          </w:p>
          <w:p>
            <w:pPr>
              <w:jc w:val="center"/>
              <w:rPr>
                <w:lang w:val="en-US" w:eastAsia="zh-CN"/>
              </w:rPr>
            </w:pPr>
            <w:r>
              <w:t>局</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农业农村局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乡村建设规划许可证</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行政审批</w:t>
            </w:r>
          </w:p>
          <w:p>
            <w:pPr>
              <w:jc w:val="center"/>
              <w:rPr>
                <w:rFonts w:hint="eastAsia"/>
                <w:lang w:val="en-US" w:eastAsia="zh-CN"/>
              </w:rPr>
            </w:pPr>
            <w:r>
              <w:t>服务局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宅基地使用权及房屋所有权首次登记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rPr>
                <w:rFonts w:hint="eastAsia"/>
                <w:lang w:val="en-US" w:eastAsia="zh-CN"/>
              </w:rP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66</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5</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置</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业</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5.5</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公积金</w:t>
            </w:r>
          </w:p>
        </w:tc>
        <w:tc>
          <w:tcPr>
            <w:tcW w:w="1733" w:type="dxa"/>
            <w:gridSpan w:val="3"/>
            <w:vMerge w:val="restart"/>
            <w:vAlign w:val="center"/>
          </w:tcPr>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职工申请提取住房公积金的核准</w:t>
            </w:r>
          </w:p>
        </w:tc>
        <w:tc>
          <w:tcPr>
            <w:tcW w:w="2323" w:type="dxa"/>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购买自住住房提取住房公积金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restart"/>
            <w:tcBorders>
              <w:left w:val="single" w:color="auto" w:sz="4" w:space="0"/>
              <w:right w:val="single" w:color="auto" w:sz="4" w:space="0"/>
            </w:tcBorders>
            <w:vAlign w:val="center"/>
          </w:tcPr>
          <w:p>
            <w:pPr>
              <w:pStyle w:val="33"/>
              <w:jc w:val="center"/>
              <w:rPr>
                <w:rFonts w:ascii="宋体"/>
                <w:sz w:val="22"/>
              </w:rPr>
            </w:pPr>
          </w:p>
          <w:p>
            <w:pPr>
              <w:pStyle w:val="33"/>
              <w:jc w:val="center"/>
              <w:rPr>
                <w:rFonts w:ascii="宋体"/>
                <w:sz w:val="22"/>
              </w:rPr>
            </w:pPr>
          </w:p>
          <w:p>
            <w:pPr>
              <w:pStyle w:val="33"/>
              <w:jc w:val="center"/>
              <w:rPr>
                <w:rFonts w:ascii="宋体"/>
                <w:sz w:val="22"/>
              </w:rPr>
            </w:pPr>
          </w:p>
          <w:p>
            <w:pPr>
              <w:jc w:val="center"/>
            </w:pPr>
            <w:r>
              <w:t>市住</w:t>
            </w:r>
          </w:p>
          <w:p>
            <w:pPr>
              <w:jc w:val="center"/>
            </w:pPr>
            <w:r>
              <w:t>房公</w:t>
            </w:r>
          </w:p>
          <w:p>
            <w:pPr>
              <w:jc w:val="center"/>
            </w:pPr>
            <w:r>
              <w:t>积金</w:t>
            </w:r>
          </w:p>
          <w:p>
            <w:pPr>
              <w:jc w:val="center"/>
            </w:pPr>
            <w:r>
              <w:t>中心</w:t>
            </w:r>
          </w:p>
          <w:p>
            <w:pPr>
              <w:jc w:val="center"/>
              <w:rPr>
                <w:rFonts w:hint="eastAsia"/>
                <w:lang w:val="en-US" w:eastAsia="zh-CN"/>
              </w:rPr>
            </w:pPr>
            <w:r>
              <w:rPr>
                <w:rFonts w:hint="eastAsia"/>
                <w:lang w:val="en-US" w:eastAsia="zh-CN"/>
              </w:rPr>
              <w:t>郯城</w:t>
            </w:r>
          </w:p>
          <w:p>
            <w:pPr>
              <w:jc w:val="center"/>
              <w:rPr>
                <w:rFonts w:hint="eastAsia"/>
                <w:lang w:val="en-US" w:eastAsia="zh-CN"/>
              </w:rPr>
            </w:pPr>
            <w:r>
              <w:rPr>
                <w:rFonts w:hint="eastAsia"/>
                <w:lang w:val="en-US" w:eastAsia="zh-CN"/>
              </w:rPr>
              <w:t>县分</w:t>
            </w:r>
          </w:p>
          <w:p>
            <w:pPr>
              <w:jc w:val="center"/>
              <w:rPr>
                <w:lang w:val="en-US" w:eastAsia="zh-CN"/>
              </w:rPr>
            </w:pPr>
            <w:r>
              <w:rPr>
                <w:rFonts w:hint="eastAsia"/>
                <w:lang w:val="en-US" w:eastAsia="zh-CN"/>
              </w:rPr>
              <w:t>中心</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Merge w:val="continue"/>
            <w:vAlign w:val="center"/>
          </w:tcPr>
          <w:p>
            <w:pPr>
              <w:pStyle w:val="33"/>
              <w:ind w:right="0" w:rightChars="0"/>
              <w:jc w:val="center"/>
              <w:rPr>
                <w:sz w:val="22"/>
              </w:rPr>
            </w:pPr>
          </w:p>
        </w:tc>
        <w:tc>
          <w:tcPr>
            <w:tcW w:w="2323" w:type="dxa"/>
            <w:vAlign w:val="center"/>
          </w:tcPr>
          <w:p>
            <w:pPr>
              <w:pStyle w:val="33"/>
              <w:spacing w:line="271" w:lineRule="auto"/>
              <w:ind w:right="198" w:rightChars="0"/>
              <w:jc w:val="center"/>
              <w:rPr>
                <w:rFonts w:ascii="仿宋_GB2312" w:hAnsi="仿宋_GB2312" w:eastAsia="仿宋_GB2312" w:cs="仿宋_GB2312"/>
                <w:sz w:val="22"/>
                <w:szCs w:val="22"/>
                <w:lang w:val="en-US" w:eastAsia="zh-CN" w:bidi="ar-SA"/>
              </w:rPr>
            </w:pPr>
            <w:r>
              <w:rPr>
                <w:sz w:val="22"/>
              </w:rPr>
              <w:t>偿还购房贷款本息提取住房公积金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Merge w:val="continue"/>
            <w:vAlign w:val="center"/>
          </w:tcPr>
          <w:p>
            <w:pPr>
              <w:pStyle w:val="33"/>
              <w:ind w:right="0" w:rightChars="0"/>
              <w:jc w:val="center"/>
              <w:rPr>
                <w:sz w:val="22"/>
              </w:rPr>
            </w:pPr>
          </w:p>
        </w:tc>
        <w:tc>
          <w:tcPr>
            <w:tcW w:w="2323" w:type="dxa"/>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大修自住住房提取住房公积金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Merge w:val="continue"/>
            <w:vAlign w:val="center"/>
          </w:tcPr>
          <w:p>
            <w:pPr>
              <w:pStyle w:val="33"/>
              <w:ind w:right="0" w:rightChars="0"/>
              <w:jc w:val="center"/>
              <w:rPr>
                <w:sz w:val="22"/>
              </w:rPr>
            </w:pPr>
          </w:p>
        </w:tc>
        <w:tc>
          <w:tcPr>
            <w:tcW w:w="2323" w:type="dxa"/>
            <w:vAlign w:val="center"/>
          </w:tcPr>
          <w:p>
            <w:pPr>
              <w:pStyle w:val="33"/>
              <w:spacing w:line="271" w:lineRule="auto"/>
              <w:ind w:right="50" w:rightChars="0"/>
              <w:jc w:val="center"/>
              <w:rPr>
                <w:rFonts w:ascii="仿宋_GB2312" w:hAnsi="仿宋_GB2312" w:eastAsia="仿宋_GB2312" w:cs="仿宋_GB2312"/>
                <w:sz w:val="22"/>
                <w:szCs w:val="22"/>
                <w:lang w:val="en-US" w:eastAsia="zh-CN" w:bidi="ar-SA"/>
              </w:rPr>
            </w:pPr>
            <w:r>
              <w:rPr>
                <w:sz w:val="22"/>
              </w:rPr>
              <w:t>建造、翻建自住住房提取住房公积金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Merge w:val="restart"/>
            <w:vAlign w:val="center"/>
          </w:tcPr>
          <w:p>
            <w:pPr>
              <w:pStyle w:val="33"/>
              <w:jc w:val="center"/>
              <w:rPr>
                <w:rFonts w:ascii="宋体"/>
                <w:sz w:val="22"/>
              </w:rPr>
            </w:pPr>
          </w:p>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缴存住房公积金的职工申请住房公积金贷款核准</w:t>
            </w:r>
          </w:p>
        </w:tc>
        <w:tc>
          <w:tcPr>
            <w:tcW w:w="2323" w:type="dxa"/>
            <w:vAlign w:val="center"/>
          </w:tcPr>
          <w:p>
            <w:pPr>
              <w:pStyle w:val="33"/>
              <w:spacing w:line="273" w:lineRule="auto"/>
              <w:ind w:right="198" w:rightChars="0"/>
              <w:jc w:val="center"/>
              <w:rPr>
                <w:sz w:val="22"/>
              </w:rPr>
            </w:pPr>
            <w:r>
              <w:rPr>
                <w:sz w:val="22"/>
              </w:rPr>
              <w:t>购买新建自住住房</w:t>
            </w:r>
          </w:p>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公积金贷款</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Merge w:val="continue"/>
            <w:vAlign w:val="center"/>
          </w:tcPr>
          <w:p>
            <w:pPr>
              <w:pStyle w:val="33"/>
              <w:ind w:right="0" w:rightChars="0"/>
              <w:jc w:val="center"/>
              <w:rPr>
                <w:sz w:val="22"/>
              </w:rPr>
            </w:pPr>
          </w:p>
        </w:tc>
        <w:tc>
          <w:tcPr>
            <w:tcW w:w="2323" w:type="dxa"/>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购买再交易自住住房公积金贷款</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733" w:type="dxa"/>
            <w:gridSpan w:val="3"/>
            <w:vAlign w:val="center"/>
          </w:tcPr>
          <w:p>
            <w:pPr>
              <w:pStyle w:val="33"/>
              <w:spacing w:before="153" w:line="271" w:lineRule="auto"/>
              <w:ind w:right="154" w:rightChars="0"/>
              <w:jc w:val="center"/>
              <w:rPr>
                <w:rFonts w:ascii="仿宋_GB2312" w:hAnsi="仿宋_GB2312" w:eastAsia="仿宋_GB2312" w:cs="仿宋_GB2312"/>
                <w:sz w:val="22"/>
                <w:szCs w:val="22"/>
                <w:lang w:val="en-US" w:eastAsia="zh-CN" w:bidi="ar-SA"/>
              </w:rPr>
            </w:pPr>
            <w:r>
              <w:rPr>
                <w:sz w:val="22"/>
              </w:rPr>
              <w:t>个人住房公积金缴存贷款等信息查询</w:t>
            </w:r>
          </w:p>
        </w:tc>
        <w:tc>
          <w:tcPr>
            <w:tcW w:w="2323" w:type="dxa"/>
            <w:vAlign w:val="center"/>
          </w:tcPr>
          <w:p>
            <w:pPr>
              <w:pStyle w:val="33"/>
              <w:spacing w:line="271" w:lineRule="auto"/>
              <w:ind w:right="198" w:rightChars="0"/>
              <w:jc w:val="center"/>
              <w:rPr>
                <w:rFonts w:ascii="仿宋_GB2312" w:hAnsi="仿宋_GB2312" w:eastAsia="仿宋_GB2312" w:cs="仿宋_GB2312"/>
                <w:sz w:val="22"/>
                <w:szCs w:val="22"/>
                <w:lang w:val="en-US" w:eastAsia="zh-CN" w:bidi="ar-SA"/>
              </w:rPr>
            </w:pPr>
            <w:r>
              <w:rPr>
                <w:sz w:val="22"/>
              </w:rPr>
              <w:t>个人住房公积金缴存贷款等信息查询</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t>市住房公积金中心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68</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eastAsia="仿宋_GB2312"/>
                <w:spacing w:val="-9"/>
                <w:sz w:val="22"/>
                <w:lang w:val="en-US" w:eastAsia="zh-CN"/>
              </w:rPr>
            </w:pPr>
            <w:r>
              <w:rPr>
                <w:rFonts w:hint="eastAsia"/>
                <w:spacing w:val="-9"/>
                <w:sz w:val="22"/>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6</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出</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行</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6.1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交通</w:t>
            </w:r>
          </w:p>
        </w:tc>
        <w:tc>
          <w:tcPr>
            <w:tcW w:w="4056" w:type="dxa"/>
            <w:gridSpan w:val="4"/>
            <w:vAlign w:val="center"/>
          </w:tcPr>
          <w:p>
            <w:pPr>
              <w:pStyle w:val="33"/>
              <w:spacing w:before="149"/>
              <w:ind w:right="0" w:rightChars="0"/>
              <w:jc w:val="center"/>
              <w:rPr>
                <w:rFonts w:ascii="仿宋_GB2312" w:hAnsi="仿宋_GB2312" w:eastAsia="仿宋_GB2312" w:cs="仿宋_GB2312"/>
                <w:sz w:val="22"/>
                <w:szCs w:val="22"/>
                <w:lang w:val="en-US" w:eastAsia="zh-CN" w:bidi="ar-SA"/>
              </w:rPr>
            </w:pPr>
            <w:r>
              <w:rPr>
                <w:sz w:val="22"/>
              </w:rPr>
              <w:t>电动自行车登记挂牌</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tcBorders>
              <w:left w:val="single" w:color="auto" w:sz="4" w:space="0"/>
              <w:right w:val="single" w:color="auto" w:sz="4" w:space="0"/>
            </w:tcBorders>
            <w:vAlign w:val="center"/>
          </w:tcPr>
          <w:p>
            <w:pPr>
              <w:jc w:val="center"/>
            </w:pPr>
            <w:r>
              <w:rPr>
                <w:rFonts w:hint="eastAsia"/>
                <w:lang w:val="en-US" w:eastAsia="zh-CN"/>
              </w:rPr>
              <w:t>县</w:t>
            </w:r>
            <w:r>
              <w:t>公</w:t>
            </w:r>
          </w:p>
          <w:p>
            <w:pPr>
              <w:jc w:val="center"/>
            </w:pPr>
            <w:r>
              <w:t>安局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69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机动车驾驶证核发</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restart"/>
            <w:tcBorders>
              <w:left w:val="single" w:color="auto" w:sz="4" w:space="0"/>
              <w:right w:val="single" w:color="auto" w:sz="4" w:space="0"/>
            </w:tcBorders>
            <w:vAlign w:val="center"/>
          </w:tcPr>
          <w:p>
            <w:pPr>
              <w:pStyle w:val="33"/>
              <w:spacing w:before="2"/>
              <w:jc w:val="center"/>
              <w:rPr>
                <w:rFonts w:hint="eastAsia"/>
                <w:lang w:val="en-US" w:eastAsia="zh-CN"/>
              </w:rPr>
            </w:pPr>
          </w:p>
          <w:p>
            <w:pPr>
              <w:pStyle w:val="33"/>
              <w:spacing w:before="2"/>
              <w:jc w:val="center"/>
              <w:rPr>
                <w:rFonts w:hint="eastAsia"/>
                <w:lang w:val="en-US" w:eastAsia="zh-CN"/>
              </w:rPr>
            </w:pPr>
            <w:r>
              <w:rPr>
                <w:rFonts w:hint="eastAsia"/>
                <w:lang w:val="en-US" w:eastAsia="zh-CN"/>
              </w:rPr>
              <w:t>县交</w:t>
            </w:r>
          </w:p>
          <w:p>
            <w:pPr>
              <w:pStyle w:val="33"/>
              <w:spacing w:before="2"/>
              <w:jc w:val="center"/>
              <w:rPr>
                <w:rFonts w:hint="eastAsia"/>
                <w:lang w:val="en-US" w:eastAsia="zh-CN"/>
              </w:rPr>
            </w:pPr>
            <w:r>
              <w:rPr>
                <w:rFonts w:hint="eastAsia"/>
                <w:lang w:val="en-US" w:eastAsia="zh-CN"/>
              </w:rPr>
              <w:t>警大</w:t>
            </w:r>
          </w:p>
          <w:p>
            <w:pPr>
              <w:pStyle w:val="33"/>
              <w:spacing w:before="2"/>
              <w:jc w:val="center"/>
              <w:rPr>
                <w:rFonts w:ascii="宋体"/>
                <w:sz w:val="18"/>
              </w:rPr>
            </w:pPr>
            <w:r>
              <w:rPr>
                <w:rFonts w:hint="eastAsia"/>
                <w:lang w:val="en-US" w:eastAsia="zh-CN"/>
              </w:rPr>
              <w:t>队</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default"/>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70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 w:line="271" w:lineRule="auto"/>
              <w:ind w:right="-15" w:rightChars="0"/>
              <w:jc w:val="center"/>
              <w:rPr>
                <w:rFonts w:ascii="仿宋_GB2312" w:hAnsi="仿宋_GB2312" w:eastAsia="仿宋_GB2312" w:cs="仿宋_GB2312"/>
                <w:sz w:val="22"/>
                <w:szCs w:val="22"/>
                <w:lang w:val="en-US" w:eastAsia="zh-CN" w:bidi="ar-SA"/>
              </w:rPr>
            </w:pPr>
            <w:r>
              <w:rPr>
                <w:spacing w:val="-20"/>
                <w:sz w:val="22"/>
              </w:rPr>
              <w:t>机动车登记</w:t>
            </w:r>
            <w:r>
              <w:rPr>
                <w:sz w:val="22"/>
              </w:rPr>
              <w:t>（注</w:t>
            </w:r>
            <w:r>
              <w:rPr>
                <w:spacing w:val="-15"/>
                <w:sz w:val="22"/>
              </w:rPr>
              <w:t>册登记、变更登记、转移登记、</w:t>
            </w:r>
            <w:r>
              <w:rPr>
                <w:spacing w:val="-24"/>
                <w:sz w:val="22"/>
              </w:rPr>
              <w:t>抵押登记、注销登记）</w:t>
            </w:r>
          </w:p>
          <w:p>
            <w:pPr>
              <w:pStyle w:val="33"/>
              <w:ind w:right="0" w:rightChars="0"/>
              <w:jc w:val="center"/>
              <w:rPr>
                <w:sz w:val="22"/>
              </w:rPr>
            </w:pPr>
          </w:p>
        </w:tc>
        <w:tc>
          <w:tcPr>
            <w:tcW w:w="2793" w:type="dxa"/>
            <w:gridSpan w:val="3"/>
            <w:vAlign w:val="center"/>
          </w:tcPr>
          <w:p>
            <w:pPr>
              <w:pStyle w:val="33"/>
              <w:spacing w:line="273" w:lineRule="auto"/>
              <w:ind w:right="144" w:rightChars="0"/>
              <w:jc w:val="center"/>
              <w:rPr>
                <w:rFonts w:ascii="仿宋_GB2312" w:hAnsi="仿宋_GB2312" w:eastAsia="仿宋_GB2312" w:cs="仿宋_GB2312"/>
                <w:sz w:val="22"/>
                <w:szCs w:val="22"/>
                <w:lang w:val="en-US" w:eastAsia="zh-CN" w:bidi="ar-SA"/>
              </w:rPr>
            </w:pPr>
            <w:r>
              <w:rPr>
                <w:sz w:val="22"/>
              </w:rPr>
              <w:t>机动车登记-注册登记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1" w:lineRule="auto"/>
              <w:ind w:right="144" w:rightChars="0"/>
              <w:jc w:val="center"/>
              <w:rPr>
                <w:rFonts w:ascii="仿宋_GB2312" w:hAnsi="仿宋_GB2312" w:eastAsia="仿宋_GB2312" w:cs="仿宋_GB2312"/>
                <w:sz w:val="22"/>
                <w:szCs w:val="22"/>
                <w:lang w:val="en-US" w:eastAsia="zh-CN" w:bidi="ar-SA"/>
              </w:rPr>
            </w:pPr>
            <w:r>
              <w:rPr>
                <w:sz w:val="22"/>
              </w:rPr>
              <w:t>机动车登记-变更登记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44" w:rightChars="0"/>
              <w:jc w:val="center"/>
              <w:rPr>
                <w:rFonts w:ascii="仿宋_GB2312" w:hAnsi="仿宋_GB2312" w:eastAsia="仿宋_GB2312" w:cs="仿宋_GB2312"/>
                <w:sz w:val="22"/>
                <w:szCs w:val="22"/>
                <w:lang w:val="en-US" w:eastAsia="zh-CN" w:bidi="ar-SA"/>
              </w:rPr>
            </w:pPr>
            <w:r>
              <w:rPr>
                <w:sz w:val="22"/>
              </w:rPr>
              <w:t>机动车登记-转移登记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44" w:rightChars="0"/>
              <w:jc w:val="center"/>
              <w:rPr>
                <w:rFonts w:ascii="仿宋_GB2312" w:hAnsi="仿宋_GB2312" w:eastAsia="仿宋_GB2312" w:cs="仿宋_GB2312"/>
                <w:sz w:val="22"/>
                <w:szCs w:val="22"/>
                <w:lang w:val="en-US" w:eastAsia="zh-CN" w:bidi="ar-SA"/>
              </w:rPr>
            </w:pPr>
            <w:r>
              <w:rPr>
                <w:sz w:val="22"/>
              </w:rPr>
              <w:t>机动车登记-抵押登记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1" w:lineRule="auto"/>
              <w:ind w:right="144" w:rightChars="0"/>
              <w:jc w:val="center"/>
              <w:rPr>
                <w:rFonts w:ascii="仿宋_GB2312" w:hAnsi="仿宋_GB2312" w:eastAsia="仿宋_GB2312" w:cs="仿宋_GB2312"/>
                <w:sz w:val="22"/>
                <w:szCs w:val="22"/>
                <w:lang w:val="en-US" w:eastAsia="zh-CN" w:bidi="ar-SA"/>
              </w:rPr>
            </w:pPr>
            <w:r>
              <w:rPr>
                <w:sz w:val="22"/>
              </w:rPr>
              <w:t>机动车登记-注销登记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spacing w:before="9"/>
              <w:jc w:val="center"/>
              <w:rPr>
                <w:rFonts w:ascii="宋体"/>
                <w:sz w:val="28"/>
              </w:rPr>
            </w:pPr>
          </w:p>
          <w:p>
            <w:pPr>
              <w:pStyle w:val="33"/>
              <w:ind w:left="164" w:leftChars="0" w:right="154"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车辆购置税申报</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spacing w:before="9"/>
              <w:jc w:val="center"/>
              <w:rPr>
                <w:rFonts w:ascii="宋体"/>
                <w:sz w:val="28"/>
              </w:rPr>
            </w:pPr>
          </w:p>
          <w:p>
            <w:pPr>
              <w:pStyle w:val="33"/>
              <w:ind w:left="163" w:leftChars="0"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核发机动车检验合格标志</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机动车行驶证补发、换发</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0" w:leftChars="0" w:right="155" w:rightChars="0"/>
              <w:jc w:val="center"/>
              <w:rPr>
                <w:rFonts w:hint="eastAsia"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7</w:t>
            </w:r>
            <w:r>
              <w:rPr>
                <w:rFonts w:hint="eastAsia"/>
                <w:sz w:val="22"/>
                <w:lang w:val="en-US" w:eastAsia="zh-CN"/>
              </w:rPr>
              <w:t>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ascii="仿宋_GB2312" w:hAnsi="仿宋_GB2312" w:eastAsia="仿宋_GB2312" w:cs="仿宋_GB2312"/>
                <w:sz w:val="2"/>
                <w:szCs w:val="2"/>
                <w:lang w:val="en-US" w:eastAsia="zh-CN" w:bidi="ar-SA"/>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ascii="仿宋_GB2312" w:hAnsi="仿宋_GB2312" w:eastAsia="仿宋_GB2312" w:cs="仿宋_GB2312"/>
                <w:sz w:val="2"/>
                <w:szCs w:val="2"/>
                <w:lang w:val="en-US" w:eastAsia="zh-CN" w:bidi="ar-SA"/>
              </w:rPr>
            </w:pPr>
          </w:p>
        </w:tc>
        <w:tc>
          <w:tcPr>
            <w:tcW w:w="4056" w:type="dxa"/>
            <w:gridSpan w:val="4"/>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机动车号牌补发、换发</w:t>
            </w:r>
          </w:p>
        </w:tc>
        <w:tc>
          <w:tcPr>
            <w:tcW w:w="1163" w:type="dxa"/>
            <w:tcBorders>
              <w:right w:val="single" w:color="auto" w:sz="4" w:space="0"/>
            </w:tcBorders>
            <w:vAlign w:val="center"/>
          </w:tcPr>
          <w:p>
            <w:pPr>
              <w:pStyle w:val="33"/>
              <w:ind w:left="0" w:leftChars="0" w:right="0" w:rightChars="0"/>
              <w:jc w:val="center"/>
              <w:rPr>
                <w:rFonts w:hint="default" w:ascii="仿宋_GB2312" w:hAnsi="仿宋_GB2312" w:eastAsia="仿宋_GB2312" w:cs="仿宋_GB2312"/>
                <w:sz w:val="22"/>
                <w:szCs w:val="22"/>
                <w:lang w:val="en-US" w:eastAsia="zh-CN" w:bidi="ar-SA"/>
              </w:rPr>
            </w:pPr>
            <w:r>
              <w:rPr>
                <w:sz w:val="22"/>
              </w:rPr>
              <w:t>其他</w:t>
            </w:r>
            <w:r>
              <w:rPr>
                <w:rFonts w:hint="eastAsia"/>
                <w:sz w:val="22"/>
                <w:lang w:val="en-US" w:eastAsia="zh-CN"/>
              </w:rPr>
              <w:t xml:space="preserve">                                        </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ascii="仿宋_GB2312" w:hAnsi="仿宋_GB2312" w:eastAsia="仿宋_GB2312" w:cs="仿宋_GB2312"/>
                <w:sz w:val="2"/>
                <w:szCs w:val="2"/>
                <w:lang w:val="en-US" w:eastAsia="zh-CN" w:bidi="ar-SA"/>
              </w:rPr>
            </w:pPr>
          </w:p>
        </w:tc>
        <w:tc>
          <w:tcPr>
            <w:tcW w:w="1552" w:type="dxa"/>
            <w:tcBorders>
              <w:left w:val="single" w:color="auto" w:sz="4" w:space="0"/>
            </w:tcBorders>
            <w:vAlign w:val="center"/>
          </w:tcPr>
          <w:p>
            <w:pPr>
              <w:ind w:left="0" w:leftChars="0" w:right="0" w:rightChars="0"/>
              <w:jc w:val="center"/>
              <w:rPr>
                <w:rFonts w:hint="eastAsia" w:ascii="仿宋_GB2312" w:hAnsi="仿宋_GB2312" w:eastAsia="仿宋_GB2312" w:cs="仿宋_GB2312"/>
                <w:sz w:val="22"/>
                <w:szCs w:val="22"/>
                <w:lang w:val="en-US" w:eastAsia="zh-CN" w:bidi="ar-SA"/>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0" w:leftChars="0"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交通违法处理</w:t>
            </w:r>
          </w:p>
        </w:tc>
        <w:tc>
          <w:tcPr>
            <w:tcW w:w="1163" w:type="dxa"/>
            <w:tcBorders>
              <w:right w:val="single" w:color="auto" w:sz="4" w:space="0"/>
            </w:tcBorders>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ind w:left="0" w:leftChars="0" w:right="0" w:rightChars="0"/>
              <w:jc w:val="center"/>
              <w:rPr>
                <w:rFonts w:hint="eastAsia" w:ascii="仿宋_GB2312" w:hAnsi="仿宋_GB2312" w:eastAsia="仿宋_GB2312" w:cs="仿宋_GB2312"/>
                <w:sz w:val="22"/>
                <w:szCs w:val="22"/>
                <w:lang w:val="en-US" w:eastAsia="zh-CN" w:bidi="ar-SA"/>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left="0" w:leftChars="0"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交通罚款缴纳</w:t>
            </w:r>
          </w:p>
        </w:tc>
        <w:tc>
          <w:tcPr>
            <w:tcW w:w="1163" w:type="dxa"/>
            <w:tcBorders>
              <w:right w:val="single" w:color="auto" w:sz="4" w:space="0"/>
            </w:tcBorders>
            <w:vAlign w:val="center"/>
          </w:tcPr>
          <w:p>
            <w:pPr>
              <w:pStyle w:val="33"/>
              <w:ind w:left="0" w:leftChars="0" w:right="0" w:rightChars="0"/>
              <w:jc w:val="center"/>
              <w:rPr>
                <w:rFonts w:hint="default" w:ascii="仿宋_GB2312" w:hAnsi="仿宋_GB2312" w:eastAsia="仿宋_GB2312" w:cs="仿宋_GB2312"/>
                <w:sz w:val="22"/>
                <w:szCs w:val="22"/>
                <w:lang w:val="en-US" w:eastAsia="zh-CN" w:bidi="ar-SA"/>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ind w:left="0" w:leftChars="0" w:right="0" w:rightChars="0"/>
              <w:jc w:val="center"/>
              <w:rPr>
                <w:rFonts w:hint="eastAsia" w:ascii="仿宋_GB2312" w:hAnsi="仿宋_GB2312" w:eastAsia="仿宋_GB2312" w:cs="仿宋_GB2312"/>
                <w:sz w:val="22"/>
                <w:szCs w:val="22"/>
                <w:lang w:val="en-US" w:eastAsia="zh-CN" w:bidi="ar-SA"/>
              </w:rPr>
            </w:pPr>
            <w:r>
              <w:rPr>
                <w:rFonts w:hint="eastAsia"/>
                <w:lang w:val="en-US" w:eastAsia="zh-CN"/>
              </w:rPr>
              <w:t>县交警大队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6.2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8"/>
                <w:sz w:val="22"/>
              </w:rPr>
              <w:t>出入</w:t>
            </w:r>
            <w:r>
              <w:rPr>
                <w:sz w:val="22"/>
              </w:rPr>
              <w:t>境</w:t>
            </w:r>
          </w:p>
        </w:tc>
        <w:tc>
          <w:tcPr>
            <w:tcW w:w="4056" w:type="dxa"/>
            <w:gridSpan w:val="4"/>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普通护照签发</w:t>
            </w:r>
          </w:p>
        </w:tc>
        <w:tc>
          <w:tcPr>
            <w:tcW w:w="1163" w:type="dxa"/>
            <w:tcBorders>
              <w:right w:val="single" w:color="auto" w:sz="4" w:space="0"/>
            </w:tcBorders>
            <w:vAlign w:val="center"/>
          </w:tcPr>
          <w:p>
            <w:pPr>
              <w:pStyle w:val="33"/>
              <w:ind w:left="0" w:leftChars="0" w:right="0" w:rightChars="0"/>
              <w:jc w:val="center"/>
              <w:rPr>
                <w:rFonts w:ascii="仿宋_GB2312" w:hAnsi="仿宋_GB2312" w:eastAsia="仿宋_GB2312" w:cs="仿宋_GB2312"/>
                <w:sz w:val="22"/>
                <w:szCs w:val="22"/>
                <w:lang w:val="en-US" w:eastAsia="zh-CN" w:bidi="ar-SA"/>
              </w:rPr>
            </w:pPr>
            <w:r>
              <w:rPr>
                <w:sz w:val="22"/>
              </w:rPr>
              <w:t>行政许可</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20" w:firstLineChars="100"/>
              <w:jc w:val="both"/>
              <w:textAlignment w:val="auto"/>
              <w:rPr>
                <w:sz w:val="22"/>
              </w:rPr>
            </w:pPr>
            <w:r>
              <w:rPr>
                <w:rFonts w:hint="eastAsia"/>
                <w:sz w:val="22"/>
                <w:lang w:val="en-US" w:eastAsia="zh-CN"/>
              </w:rPr>
              <w:t>县</w:t>
            </w:r>
            <w:r>
              <w:rPr>
                <w:sz w:val="22"/>
              </w:rPr>
              <w:t>公</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rFonts w:hint="eastAsia"/>
                <w:sz w:val="22"/>
                <w:lang w:val="en-US" w:eastAsia="zh-CN"/>
              </w:rPr>
              <w:t xml:space="preserve"> </w:t>
            </w:r>
            <w:r>
              <w:rPr>
                <w:sz w:val="22"/>
              </w:rPr>
              <w:t>安局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exact"/>
        </w:trPr>
        <w:tc>
          <w:tcPr>
            <w:tcW w:w="590" w:type="dxa"/>
            <w:vAlign w:val="center"/>
          </w:tcPr>
          <w:p>
            <w:pPr>
              <w:pStyle w:val="33"/>
              <w:ind w:right="155" w:rightChars="0"/>
              <w:jc w:val="center"/>
              <w:rPr>
                <w:rFonts w:hint="eastAsia" w:ascii="仿宋_GB2312" w:hAnsi="仿宋_GB2312" w:eastAsia="仿宋_GB2312" w:cs="仿宋_GB2312"/>
                <w:sz w:val="22"/>
                <w:szCs w:val="22"/>
                <w:lang w:val="en-US" w:eastAsia="zh-CN" w:bidi="ar-SA"/>
              </w:rPr>
            </w:pPr>
            <w:r>
              <w:rPr>
                <w:sz w:val="22"/>
              </w:rPr>
              <w:t>7</w:t>
            </w:r>
            <w:r>
              <w:rPr>
                <w:rFonts w:hint="eastAsia"/>
                <w:sz w:val="22"/>
                <w:lang w:val="en-US" w:eastAsia="zh-CN"/>
              </w:rPr>
              <w:t>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48"/>
              <w:jc w:val="center"/>
              <w:rPr>
                <w:sz w:val="22"/>
              </w:rPr>
            </w:pPr>
            <w:r>
              <w:rPr>
                <w:sz w:val="22"/>
              </w:rPr>
              <w:t>内地居民往来港澳通行证和签注签发</w:t>
            </w:r>
          </w:p>
          <w:p>
            <w:pPr>
              <w:pStyle w:val="33"/>
              <w:spacing w:before="1" w:line="320" w:lineRule="atLeast"/>
              <w:ind w:left="1375" w:leftChars="0" w:right="147" w:rightChars="0" w:hanging="1210" w:firstLineChars="0"/>
              <w:jc w:val="center"/>
              <w:rPr>
                <w:rFonts w:ascii="仿宋_GB2312" w:hAnsi="仿宋_GB2312" w:eastAsia="仿宋_GB2312" w:cs="仿宋_GB2312"/>
                <w:sz w:val="22"/>
                <w:szCs w:val="22"/>
                <w:lang w:val="en-US" w:eastAsia="zh-CN" w:bidi="ar-SA"/>
              </w:rPr>
            </w:pPr>
            <w:r>
              <w:rPr>
                <w:sz w:val="22"/>
              </w:rPr>
              <w:t>（须在指定地点办理的赴香港或澳门签注除外）</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exact"/>
        </w:trPr>
        <w:tc>
          <w:tcPr>
            <w:tcW w:w="590" w:type="dxa"/>
            <w:vAlign w:val="center"/>
          </w:tcPr>
          <w:p>
            <w:pPr>
              <w:pStyle w:val="33"/>
              <w:ind w:right="155"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79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48"/>
              <w:jc w:val="center"/>
              <w:rPr>
                <w:sz w:val="22"/>
              </w:rPr>
            </w:pPr>
            <w:r>
              <w:rPr>
                <w:sz w:val="22"/>
              </w:rPr>
              <w:t>大陆居民往来台湾通行证和签注签发</w:t>
            </w:r>
          </w:p>
          <w:p>
            <w:pPr>
              <w:pStyle w:val="33"/>
              <w:spacing w:before="2" w:line="320" w:lineRule="exact"/>
              <w:ind w:left="1705" w:leftChars="0" w:right="147" w:rightChars="0" w:hanging="1540" w:firstLineChars="0"/>
              <w:jc w:val="center"/>
              <w:rPr>
                <w:rFonts w:ascii="仿宋_GB2312" w:hAnsi="仿宋_GB2312" w:eastAsia="仿宋_GB2312" w:cs="仿宋_GB2312"/>
                <w:sz w:val="22"/>
                <w:szCs w:val="22"/>
                <w:lang w:val="en-US" w:eastAsia="zh-CN" w:bidi="ar-SA"/>
              </w:rPr>
            </w:pPr>
            <w:r>
              <w:rPr>
                <w:sz w:val="22"/>
              </w:rPr>
              <w:t>（须在指定地点办理的赴台湾签注除外）</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行政许可</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right="155" w:rightChars="0"/>
              <w:jc w:val="center"/>
              <w:rPr>
                <w:rFonts w:hint="default" w:ascii="仿宋_GB2312" w:hAnsi="仿宋_GB2312" w:eastAsia="仿宋_GB2312" w:cs="仿宋_GB2312"/>
                <w:sz w:val="22"/>
                <w:szCs w:val="22"/>
                <w:lang w:val="en-US" w:eastAsia="zh-CN" w:bidi="ar-SA"/>
              </w:rPr>
            </w:pPr>
            <w:r>
              <w:rPr>
                <w:rFonts w:hint="eastAsia" w:cs="仿宋_GB2312"/>
                <w:sz w:val="22"/>
                <w:szCs w:val="22"/>
                <w:lang w:val="en-US" w:eastAsia="zh-CN" w:bidi="ar-SA"/>
              </w:rPr>
              <w:t>80</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7</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婚</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育</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7.1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婚育</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内地居民结婚登记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政局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ind w:right="155" w:rightChars="0"/>
              <w:jc w:val="center"/>
              <w:rPr>
                <w:rFonts w:hint="eastAsia" w:ascii="仿宋_GB2312" w:hAnsi="仿宋_GB2312" w:eastAsia="仿宋_GB2312" w:cs="仿宋_GB2312"/>
                <w:sz w:val="22"/>
                <w:szCs w:val="22"/>
                <w:lang w:val="en-US" w:eastAsia="zh-CN" w:bidi="ar-SA"/>
              </w:rPr>
            </w:pPr>
            <w:r>
              <w:rPr>
                <w:sz w:val="22"/>
              </w:rPr>
              <w:t>8</w:t>
            </w:r>
            <w:r>
              <w:rPr>
                <w:rFonts w:hint="eastAsia"/>
                <w:sz w:val="22"/>
                <w:lang w:val="en-US" w:eastAsia="zh-CN"/>
              </w:rPr>
              <w:t>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涉外、涉港澳台居民及华侨结婚登记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内地居民离婚登记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涉外、涉港澳台居民及华侨离婚登记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before="1"/>
              <w:ind w:right="145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生育登记</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卫生健康</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85</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8</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就</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医</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02" w:firstLineChars="100"/>
              <w:jc w:val="both"/>
              <w:textAlignment w:val="auto"/>
              <w:rPr>
                <w:spacing w:val="-9"/>
                <w:sz w:val="22"/>
              </w:rPr>
            </w:pPr>
            <w:r>
              <w:rPr>
                <w:spacing w:val="-9"/>
                <w:sz w:val="22"/>
              </w:rPr>
              <w:t>8.1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医疗</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pacing w:val="-9"/>
                <w:sz w:val="22"/>
              </w:rPr>
              <w:t>服务</w:t>
            </w:r>
          </w:p>
        </w:tc>
        <w:tc>
          <w:tcPr>
            <w:tcW w:w="4056" w:type="dxa"/>
            <w:gridSpan w:val="4"/>
            <w:vAlign w:val="center"/>
          </w:tcPr>
          <w:p>
            <w:pPr>
              <w:pStyle w:val="33"/>
              <w:spacing w:line="273" w:lineRule="auto"/>
              <w:ind w:right="147" w:rightChars="0"/>
              <w:jc w:val="center"/>
              <w:rPr>
                <w:rFonts w:ascii="仿宋_GB2312" w:hAnsi="仿宋_GB2312" w:eastAsia="仿宋_GB2312" w:cs="仿宋_GB2312"/>
                <w:sz w:val="22"/>
                <w:szCs w:val="22"/>
                <w:lang w:val="en-US" w:eastAsia="zh-CN" w:bidi="ar-SA"/>
              </w:rPr>
            </w:pPr>
            <w:r>
              <w:rPr>
                <w:sz w:val="22"/>
              </w:rPr>
              <w:t>基本医疗保险参保人员享受门诊慢特病病种待遇认定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医</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疗保</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障局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住院病历复制和查阅</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restart"/>
            <w:vAlign w:val="center"/>
          </w:tcPr>
          <w:p>
            <w:pPr>
              <w:pStyle w:val="33"/>
              <w:spacing w:before="1" w:line="273" w:lineRule="auto"/>
              <w:ind w:right="153" w:rightChars="0"/>
              <w:jc w:val="center"/>
              <w:rPr>
                <w:rFonts w:ascii="仿宋_GB2312" w:hAnsi="仿宋_GB2312" w:eastAsia="仿宋_GB2312" w:cs="仿宋_GB2312"/>
                <w:sz w:val="22"/>
                <w:szCs w:val="22"/>
                <w:lang w:val="en-US" w:eastAsia="zh-CN" w:bidi="ar-SA"/>
              </w:rPr>
            </w:pPr>
            <w:r>
              <w:rPr>
                <w:sz w:val="22"/>
              </w:rPr>
              <w:t>基本医疗保险参保人员异地就医备案</w:t>
            </w:r>
          </w:p>
          <w:p>
            <w:pPr>
              <w:pStyle w:val="33"/>
              <w:ind w:right="0" w:rightChars="0"/>
              <w:jc w:val="center"/>
              <w:rPr>
                <w:sz w:val="22"/>
              </w:rPr>
            </w:pPr>
          </w:p>
        </w:tc>
        <w:tc>
          <w:tcPr>
            <w:tcW w:w="2793" w:type="dxa"/>
            <w:gridSpan w:val="3"/>
            <w:vAlign w:val="center"/>
          </w:tcPr>
          <w:p>
            <w:pPr>
              <w:pStyle w:val="33"/>
              <w:spacing w:before="177" w:line="273" w:lineRule="auto"/>
              <w:ind w:right="198" w:rightChars="0"/>
              <w:jc w:val="center"/>
              <w:rPr>
                <w:rFonts w:ascii="仿宋_GB2312" w:hAnsi="仿宋_GB2312" w:eastAsia="仿宋_GB2312" w:cs="仿宋_GB2312"/>
                <w:sz w:val="22"/>
                <w:szCs w:val="22"/>
                <w:lang w:val="en-US" w:eastAsia="zh-CN" w:bidi="ar-SA"/>
              </w:rPr>
            </w:pPr>
            <w:r>
              <w:rPr>
                <w:sz w:val="22"/>
              </w:rPr>
              <w:t>长期异地工作人员备案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异地长期居住人员备案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1" w:lineRule="auto"/>
              <w:ind w:right="198" w:rightChars="0"/>
              <w:jc w:val="center"/>
              <w:rPr>
                <w:rFonts w:ascii="仿宋_GB2312" w:hAnsi="仿宋_GB2312" w:eastAsia="仿宋_GB2312" w:cs="仿宋_GB2312"/>
                <w:sz w:val="22"/>
                <w:szCs w:val="22"/>
                <w:lang w:val="en-US" w:eastAsia="zh-CN" w:bidi="ar-SA"/>
              </w:rPr>
            </w:pPr>
            <w:r>
              <w:rPr>
                <w:sz w:val="22"/>
              </w:rPr>
              <w:t>异地安置退休人员备案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异地急诊转住院联网备案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ind w:right="198" w:rightChars="0"/>
              <w:jc w:val="center"/>
              <w:rPr>
                <w:rFonts w:ascii="仿宋_GB2312" w:hAnsi="仿宋_GB2312" w:eastAsia="仿宋_GB2312" w:cs="仿宋_GB2312"/>
                <w:sz w:val="22"/>
                <w:szCs w:val="22"/>
                <w:lang w:val="en-US" w:eastAsia="zh-CN" w:bidi="ar-SA"/>
              </w:rPr>
            </w:pPr>
            <w:r>
              <w:rPr>
                <w:sz w:val="22"/>
              </w:rPr>
              <w:t>转外就医备案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8.2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就医</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结算</w:t>
            </w:r>
          </w:p>
        </w:tc>
        <w:tc>
          <w:tcPr>
            <w:tcW w:w="1263" w:type="dxa"/>
            <w:vMerge w:val="restart"/>
            <w:vAlign w:val="center"/>
          </w:tcPr>
          <w:p>
            <w:pPr>
              <w:pStyle w:val="33"/>
              <w:spacing w:before="170" w:line="273" w:lineRule="auto"/>
              <w:ind w:right="154" w:rightChars="0"/>
              <w:jc w:val="center"/>
              <w:rPr>
                <w:rFonts w:ascii="仿宋_GB2312" w:hAnsi="仿宋_GB2312" w:eastAsia="仿宋_GB2312" w:cs="仿宋_GB2312"/>
                <w:sz w:val="22"/>
                <w:szCs w:val="22"/>
                <w:lang w:val="en-US" w:eastAsia="zh-CN" w:bidi="ar-SA"/>
              </w:rPr>
            </w:pPr>
            <w:r>
              <w:rPr>
                <w:sz w:val="22"/>
              </w:rPr>
              <w:t>生育保险待遇核准支付</w:t>
            </w:r>
          </w:p>
          <w:p>
            <w:pPr>
              <w:pStyle w:val="33"/>
              <w:ind w:right="0" w:rightChars="0"/>
              <w:jc w:val="center"/>
              <w:rPr>
                <w:sz w:val="22"/>
              </w:rPr>
            </w:pPr>
          </w:p>
        </w:tc>
        <w:tc>
          <w:tcPr>
            <w:tcW w:w="2793" w:type="dxa"/>
            <w:gridSpan w:val="3"/>
            <w:vAlign w:val="center"/>
          </w:tcPr>
          <w:p>
            <w:pPr>
              <w:pStyle w:val="33"/>
              <w:ind w:right="198" w:rightChars="0"/>
              <w:jc w:val="center"/>
              <w:rPr>
                <w:rFonts w:ascii="仿宋_GB2312" w:hAnsi="仿宋_GB2312" w:eastAsia="仿宋_GB2312" w:cs="仿宋_GB2312"/>
                <w:sz w:val="22"/>
                <w:szCs w:val="22"/>
                <w:lang w:val="en-US" w:eastAsia="zh-CN" w:bidi="ar-SA"/>
              </w:rPr>
            </w:pPr>
            <w:r>
              <w:rPr>
                <w:sz w:val="22"/>
              </w:rPr>
              <w:t>产前检查费支付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医</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疗保</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障局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ind w:right="198" w:rightChars="0"/>
              <w:jc w:val="center"/>
              <w:rPr>
                <w:rFonts w:ascii="仿宋_GB2312" w:hAnsi="仿宋_GB2312" w:eastAsia="仿宋_GB2312" w:cs="仿宋_GB2312"/>
                <w:sz w:val="22"/>
                <w:szCs w:val="22"/>
                <w:lang w:val="en-US" w:eastAsia="zh-CN" w:bidi="ar-SA"/>
              </w:rPr>
            </w:pPr>
            <w:r>
              <w:rPr>
                <w:sz w:val="22"/>
              </w:rPr>
              <w:t>生育医疗费支付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计划生育医疗费支付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生育津贴支付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医疗保障局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line="271" w:lineRule="auto"/>
              <w:ind w:right="154" w:rightChars="0"/>
              <w:jc w:val="center"/>
              <w:rPr>
                <w:rFonts w:ascii="仿宋_GB2312" w:hAnsi="仿宋_GB2312" w:eastAsia="仿宋_GB2312" w:cs="仿宋_GB2312"/>
                <w:sz w:val="22"/>
                <w:szCs w:val="22"/>
                <w:lang w:val="en-US" w:eastAsia="zh-CN" w:bidi="ar-SA"/>
              </w:rPr>
            </w:pPr>
            <w:r>
              <w:rPr>
                <w:sz w:val="22"/>
              </w:rPr>
              <w:t>工伤保险待遇核定支付</w:t>
            </w:r>
          </w:p>
        </w:tc>
        <w:tc>
          <w:tcPr>
            <w:tcW w:w="2793" w:type="dxa"/>
            <w:gridSpan w:val="3"/>
            <w:vAlign w:val="center"/>
          </w:tcPr>
          <w:p>
            <w:pPr>
              <w:pStyle w:val="33"/>
              <w:spacing w:before="48" w:line="271" w:lineRule="auto"/>
              <w:ind w:left="111" w:right="91" w:firstLine="108"/>
              <w:jc w:val="center"/>
              <w:rPr>
                <w:spacing w:val="-1"/>
                <w:sz w:val="22"/>
              </w:rPr>
            </w:pPr>
            <w:r>
              <w:rPr>
                <w:sz w:val="22"/>
              </w:rPr>
              <w:t>工伤职工转诊转院</w:t>
            </w:r>
            <w:r>
              <w:rPr>
                <w:spacing w:val="-1"/>
                <w:sz w:val="22"/>
              </w:rPr>
              <w:t>申请确认（工伤职工异地就医</w:t>
            </w:r>
          </w:p>
          <w:p>
            <w:pPr>
              <w:pStyle w:val="33"/>
              <w:spacing w:before="48" w:line="271" w:lineRule="auto"/>
              <w:ind w:left="111" w:right="91" w:firstLine="108"/>
              <w:jc w:val="center"/>
              <w:rPr>
                <w:rFonts w:ascii="仿宋_GB2312" w:hAnsi="仿宋_GB2312" w:eastAsia="仿宋_GB2312" w:cs="仿宋_GB2312"/>
                <w:sz w:val="22"/>
                <w:szCs w:val="22"/>
                <w:lang w:val="en-US" w:eastAsia="zh-CN" w:bidi="ar-SA"/>
              </w:rPr>
            </w:pPr>
            <w:r>
              <w:rPr>
                <w:spacing w:val="-1"/>
                <w:sz w:val="22"/>
              </w:rPr>
              <w:t>登记备案）</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医</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sz w:val="22"/>
              </w:rPr>
              <w:t>疗保</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障局</w:t>
            </w: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8" w:line="271" w:lineRule="auto"/>
              <w:ind w:left="111" w:right="90"/>
              <w:jc w:val="center"/>
              <w:rPr>
                <w:rFonts w:ascii="仿宋_GB2312" w:hAnsi="仿宋_GB2312" w:eastAsia="仿宋_GB2312" w:cs="仿宋_GB2312"/>
                <w:sz w:val="22"/>
                <w:szCs w:val="22"/>
                <w:lang w:val="en-US" w:eastAsia="zh-CN" w:bidi="ar-SA"/>
              </w:rPr>
            </w:pPr>
            <w:r>
              <w:rPr>
                <w:sz w:val="22"/>
              </w:rPr>
              <w:t>工伤医疗（康复）</w:t>
            </w:r>
            <w:r>
              <w:rPr>
                <w:spacing w:val="-16"/>
                <w:sz w:val="22"/>
              </w:rPr>
              <w:t>待</w:t>
            </w:r>
            <w:r>
              <w:rPr>
                <w:spacing w:val="-1"/>
                <w:sz w:val="22"/>
              </w:rPr>
              <w:t>遇核定支付</w:t>
            </w:r>
            <w:r>
              <w:rPr>
                <w:sz w:val="22"/>
              </w:rPr>
              <w:t>（</w:t>
            </w:r>
            <w:r>
              <w:rPr>
                <w:spacing w:val="-6"/>
                <w:sz w:val="22"/>
              </w:rPr>
              <w:t>含住</w:t>
            </w:r>
            <w:r>
              <w:rPr>
                <w:sz w:val="22"/>
              </w:rPr>
              <w:t>伙食补助费核定支付）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both"/>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8" w:line="273" w:lineRule="auto"/>
              <w:ind w:left="219" w:right="198"/>
              <w:jc w:val="center"/>
              <w:rPr>
                <w:rFonts w:ascii="仿宋_GB2312" w:hAnsi="仿宋_GB2312" w:eastAsia="仿宋_GB2312" w:cs="仿宋_GB2312"/>
                <w:sz w:val="22"/>
                <w:szCs w:val="22"/>
                <w:lang w:val="en-US" w:eastAsia="zh-CN" w:bidi="ar-SA"/>
              </w:rPr>
            </w:pPr>
            <w:r>
              <w:rPr>
                <w:sz w:val="22"/>
              </w:rPr>
              <w:t>异地工伤医疗（</w:t>
            </w:r>
            <w:r>
              <w:rPr>
                <w:spacing w:val="-17"/>
                <w:sz w:val="22"/>
              </w:rPr>
              <w:t>康</w:t>
            </w:r>
            <w:r>
              <w:rPr>
                <w:sz w:val="22"/>
              </w:rPr>
              <w:t>复）</w:t>
            </w:r>
            <w:r>
              <w:rPr>
                <w:spacing w:val="-3"/>
                <w:sz w:val="22"/>
              </w:rPr>
              <w:t>待遇核定支付</w:t>
            </w:r>
            <w:r>
              <w:t>（含交通食宿费核</w:t>
            </w:r>
            <w:r>
              <w:rPr>
                <w:sz w:val="22"/>
              </w:rPr>
              <w:t>定支付）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89</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9</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助</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9.1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残疾</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人救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助</w:t>
            </w:r>
          </w:p>
        </w:tc>
        <w:tc>
          <w:tcPr>
            <w:tcW w:w="4056" w:type="dxa"/>
            <w:gridSpan w:val="4"/>
            <w:vAlign w:val="center"/>
          </w:tcPr>
          <w:p>
            <w:pPr>
              <w:pStyle w:val="33"/>
              <w:spacing w:before="156" w:line="273" w:lineRule="auto"/>
              <w:ind w:right="-29" w:rightChars="0"/>
              <w:jc w:val="center"/>
              <w:rPr>
                <w:rFonts w:ascii="仿宋_GB2312" w:hAnsi="仿宋_GB2312" w:eastAsia="仿宋_GB2312" w:cs="仿宋_GB2312"/>
                <w:sz w:val="22"/>
                <w:szCs w:val="22"/>
                <w:lang w:val="en-US" w:eastAsia="zh-CN" w:bidi="ar-SA"/>
              </w:rPr>
            </w:pPr>
            <w:r>
              <w:rPr>
                <w:spacing w:val="-16"/>
                <w:sz w:val="22"/>
              </w:rPr>
              <w:t>残疾人证新办、换领、迁移、挂失补办、类别（等级）变更、注销</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rFonts w:hint="eastAsia"/>
                <w:sz w:val="22"/>
                <w:lang w:val="en-US" w:eastAsia="zh-CN"/>
              </w:rPr>
              <w:t>县</w:t>
            </w:r>
            <w:r>
              <w:rPr>
                <w:sz w:val="22"/>
              </w:rPr>
              <w:t>残疾人联合会</w:t>
            </w:r>
          </w:p>
        </w:tc>
        <w:tc>
          <w:tcPr>
            <w:tcW w:w="1552" w:type="dxa"/>
            <w:tcBorders>
              <w:left w:val="single" w:color="auto" w:sz="4" w:space="0"/>
            </w:tcBorders>
            <w:vAlign w:val="center"/>
          </w:tcPr>
          <w:p>
            <w:pPr>
              <w:jc w:val="center"/>
            </w:pPr>
            <w:r>
              <w:rPr>
                <w:rFonts w:hint="eastAsia"/>
                <w:lang w:val="en-US" w:eastAsia="zh-CN"/>
              </w:rPr>
              <w:t>县</w:t>
            </w:r>
            <w:r>
              <w:t>残疾人</w:t>
            </w:r>
          </w:p>
          <w:p>
            <w:pPr>
              <w:jc w:val="center"/>
              <w:rPr>
                <w:rFonts w:hint="eastAsia"/>
                <w:lang w:val="en-US" w:eastAsia="zh-CN"/>
              </w:rPr>
            </w:pPr>
            <w:r>
              <w:t>联合会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困难残疾人生活补贴</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restart"/>
            <w:vAlign w:val="center"/>
          </w:tcPr>
          <w:p>
            <w:pPr>
              <w:pStyle w:val="33"/>
              <w:spacing w:line="273" w:lineRule="auto"/>
              <w:ind w:right="153" w:rightChars="0"/>
              <w:jc w:val="center"/>
              <w:rPr>
                <w:rFonts w:ascii="仿宋_GB2312" w:hAnsi="仿宋_GB2312" w:eastAsia="仿宋_GB2312" w:cs="仿宋_GB2312"/>
                <w:sz w:val="22"/>
                <w:szCs w:val="22"/>
                <w:lang w:val="en-US" w:eastAsia="zh-CN" w:bidi="ar-SA"/>
              </w:rPr>
            </w:pPr>
            <w:r>
              <w:rPr>
                <w:sz w:val="22"/>
              </w:rPr>
              <w:t>山东省残疾儿童康复救助</w:t>
            </w:r>
          </w:p>
        </w:tc>
        <w:tc>
          <w:tcPr>
            <w:tcW w:w="2793" w:type="dxa"/>
            <w:gridSpan w:val="3"/>
            <w:vAlign w:val="center"/>
          </w:tcPr>
          <w:p>
            <w:pPr>
              <w:pStyle w:val="33"/>
              <w:spacing w:before="18" w:line="273" w:lineRule="auto"/>
              <w:ind w:right="86"/>
              <w:jc w:val="center"/>
              <w:rPr>
                <w:sz w:val="22"/>
              </w:rPr>
            </w:pPr>
            <w:r>
              <w:rPr>
                <w:sz w:val="22"/>
              </w:rPr>
              <w:t>山东省视力、听力、言语、肢体、智力等残疾儿童和</w:t>
            </w:r>
          </w:p>
          <w:p>
            <w:pPr>
              <w:pStyle w:val="33"/>
              <w:spacing w:before="18" w:line="273" w:lineRule="auto"/>
              <w:ind w:right="86"/>
              <w:jc w:val="center"/>
              <w:rPr>
                <w:sz w:val="22"/>
              </w:rPr>
            </w:pPr>
            <w:r>
              <w:rPr>
                <w:sz w:val="22"/>
              </w:rPr>
              <w:t>孤独症</w:t>
            </w:r>
          </w:p>
          <w:p>
            <w:pPr>
              <w:pStyle w:val="33"/>
              <w:spacing w:line="277" w:lineRule="exact"/>
              <w:ind w:left="438" w:leftChars="0" w:right="0" w:rightChars="0"/>
              <w:jc w:val="center"/>
              <w:rPr>
                <w:rFonts w:ascii="仿宋_GB2312" w:hAnsi="仿宋_GB2312" w:eastAsia="仿宋_GB2312" w:cs="仿宋_GB2312"/>
                <w:sz w:val="22"/>
                <w:szCs w:val="22"/>
                <w:lang w:val="en-US" w:eastAsia="zh-CN" w:bidi="ar-SA"/>
              </w:rPr>
            </w:pPr>
            <w:r>
              <w:rPr>
                <w:sz w:val="22"/>
              </w:rPr>
              <w:t>儿童康复救助</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pStyle w:val="33"/>
              <w:spacing w:before="1" w:line="273" w:lineRule="auto"/>
              <w:ind w:right="127" w:rightChars="0"/>
              <w:jc w:val="center"/>
              <w:rPr>
                <w:rFonts w:ascii="仿宋_GB2312" w:hAnsi="仿宋_GB2312" w:eastAsia="仿宋_GB2312" w:cs="仿宋_GB2312"/>
                <w:sz w:val="22"/>
                <w:szCs w:val="22"/>
                <w:lang w:val="en-US" w:eastAsia="zh-CN" w:bidi="ar-SA"/>
              </w:rPr>
            </w:pPr>
          </w:p>
        </w:tc>
        <w:tc>
          <w:tcPr>
            <w:tcW w:w="1552" w:type="dxa"/>
            <w:tcBorders>
              <w:left w:val="single" w:color="auto" w:sz="4" w:space="0"/>
            </w:tcBorders>
            <w:vAlign w:val="center"/>
          </w:tcPr>
          <w:p>
            <w:pPr>
              <w:jc w:val="center"/>
            </w:pPr>
            <w:r>
              <w:rPr>
                <w:rFonts w:hint="eastAsia"/>
                <w:lang w:val="en-US" w:eastAsia="zh-CN"/>
              </w:rPr>
              <w:t>县</w:t>
            </w:r>
            <w:r>
              <w:t>残疾人</w:t>
            </w:r>
          </w:p>
          <w:p>
            <w:pPr>
              <w:jc w:val="center"/>
              <w:rPr>
                <w:rFonts w:hint="eastAsia"/>
                <w:lang w:val="en-US" w:eastAsia="zh-CN"/>
              </w:rPr>
            </w:pPr>
            <w:r>
              <w:t>联合会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10" w:line="320" w:lineRule="atLeast"/>
              <w:ind w:right="198" w:rightChars="0"/>
              <w:jc w:val="center"/>
              <w:rPr>
                <w:rFonts w:ascii="仿宋_GB2312" w:hAnsi="仿宋_GB2312" w:eastAsia="仿宋_GB2312" w:cs="仿宋_GB2312"/>
                <w:sz w:val="22"/>
                <w:szCs w:val="22"/>
                <w:lang w:val="en-US" w:eastAsia="zh-CN" w:bidi="ar-SA"/>
              </w:rPr>
            </w:pPr>
            <w:r>
              <w:rPr>
                <w:sz w:val="22"/>
              </w:rPr>
              <w:t>山东省听力残疾儿童人工耳蜗康复救助</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pStyle w:val="33"/>
              <w:spacing w:line="273" w:lineRule="auto"/>
              <w:ind w:right="127" w:rightChars="0"/>
              <w:jc w:val="center"/>
              <w:rPr>
                <w:rFonts w:ascii="仿宋_GB2312" w:hAnsi="仿宋_GB2312" w:eastAsia="仿宋_GB2312" w:cs="仿宋_GB2312"/>
                <w:sz w:val="22"/>
                <w:szCs w:val="22"/>
                <w:lang w:val="en-US" w:eastAsia="zh-CN" w:bidi="ar-SA"/>
              </w:rPr>
            </w:pPr>
          </w:p>
        </w:tc>
        <w:tc>
          <w:tcPr>
            <w:tcW w:w="1552" w:type="dxa"/>
            <w:tcBorders>
              <w:left w:val="single" w:color="auto" w:sz="4" w:space="0"/>
            </w:tcBorders>
            <w:vAlign w:val="center"/>
          </w:tcPr>
          <w:p>
            <w:pPr>
              <w:jc w:val="center"/>
            </w:pPr>
            <w:r>
              <w:rPr>
                <w:rFonts w:hint="eastAsia"/>
                <w:lang w:val="en-US" w:eastAsia="zh-CN"/>
              </w:rPr>
              <w:t>县</w:t>
            </w:r>
            <w:r>
              <w:t>残疾人</w:t>
            </w:r>
          </w:p>
          <w:p>
            <w:pPr>
              <w:jc w:val="center"/>
              <w:rPr>
                <w:rFonts w:hint="eastAsia"/>
                <w:lang w:val="en-US" w:eastAsia="zh-CN"/>
              </w:rPr>
            </w:pPr>
            <w:r>
              <w:t>联合会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before="48" w:line="271" w:lineRule="auto"/>
              <w:ind w:right="198"/>
              <w:jc w:val="center"/>
              <w:rPr>
                <w:rFonts w:ascii="仿宋_GB2312" w:hAnsi="仿宋_GB2312" w:eastAsia="仿宋_GB2312" w:cs="仿宋_GB2312"/>
                <w:sz w:val="22"/>
                <w:szCs w:val="22"/>
                <w:lang w:val="en-US" w:eastAsia="zh-CN" w:bidi="ar-SA"/>
              </w:rPr>
            </w:pPr>
            <w:r>
              <w:rPr>
                <w:sz w:val="22"/>
              </w:rPr>
              <w:t>山东省肢体残疾儿童矫治手术康复救</w:t>
            </w:r>
            <w:r>
              <w:t>助</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pStyle w:val="33"/>
              <w:spacing w:line="271" w:lineRule="auto"/>
              <w:ind w:right="127" w:rightChars="0"/>
              <w:jc w:val="center"/>
              <w:rPr>
                <w:rFonts w:ascii="仿宋_GB2312" w:hAnsi="仿宋_GB2312" w:eastAsia="仿宋_GB2312" w:cs="仿宋_GB2312"/>
                <w:sz w:val="22"/>
                <w:szCs w:val="22"/>
                <w:lang w:val="en-US" w:eastAsia="zh-CN" w:bidi="ar-SA"/>
              </w:rPr>
            </w:pPr>
          </w:p>
        </w:tc>
        <w:tc>
          <w:tcPr>
            <w:tcW w:w="1552" w:type="dxa"/>
            <w:tcBorders>
              <w:left w:val="single" w:color="auto" w:sz="4" w:space="0"/>
            </w:tcBorders>
            <w:vAlign w:val="center"/>
          </w:tcPr>
          <w:p>
            <w:pPr>
              <w:jc w:val="center"/>
            </w:pPr>
            <w:r>
              <w:rPr>
                <w:rFonts w:hint="eastAsia"/>
                <w:lang w:val="en-US" w:eastAsia="zh-CN"/>
              </w:rPr>
              <w:t>县</w:t>
            </w:r>
            <w:r>
              <w:t>残疾人</w:t>
            </w:r>
          </w:p>
          <w:p>
            <w:pPr>
              <w:jc w:val="center"/>
              <w:rPr>
                <w:rFonts w:hint="eastAsia"/>
                <w:lang w:val="en-US" w:eastAsia="zh-CN"/>
              </w:rPr>
            </w:pPr>
            <w:r>
              <w:t>联合会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重度残疾人护理补贴</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9.2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困难</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人员</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救助</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城乡居民最低生活保障金给付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政局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特困人员供养给付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95</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临时救助给付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经济困难老年人补贴给付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行政给付</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line="273" w:lineRule="auto"/>
              <w:ind w:right="154" w:rightChars="0"/>
              <w:jc w:val="center"/>
              <w:rPr>
                <w:sz w:val="22"/>
              </w:rPr>
            </w:pPr>
            <w:r>
              <w:rPr>
                <w:sz w:val="22"/>
              </w:rPr>
              <w:t>公共就业专项</w:t>
            </w:r>
          </w:p>
          <w:p>
            <w:pPr>
              <w:pStyle w:val="33"/>
              <w:spacing w:line="273" w:lineRule="auto"/>
              <w:ind w:right="154" w:rightChars="0"/>
              <w:jc w:val="center"/>
              <w:rPr>
                <w:rFonts w:ascii="仿宋_GB2312" w:hAnsi="仿宋_GB2312" w:eastAsia="仿宋_GB2312" w:cs="仿宋_GB2312"/>
                <w:sz w:val="22"/>
                <w:szCs w:val="22"/>
                <w:lang w:val="en-US" w:eastAsia="zh-CN" w:bidi="ar-SA"/>
              </w:rPr>
            </w:pPr>
            <w:r>
              <w:rPr>
                <w:sz w:val="22"/>
              </w:rPr>
              <w:t>服务活动</w:t>
            </w:r>
          </w:p>
          <w:p>
            <w:pPr>
              <w:pStyle w:val="33"/>
              <w:ind w:right="0" w:rightChars="0"/>
              <w:jc w:val="center"/>
              <w:rPr>
                <w:sz w:val="22"/>
              </w:rPr>
            </w:pPr>
          </w:p>
        </w:tc>
        <w:tc>
          <w:tcPr>
            <w:tcW w:w="2793" w:type="dxa"/>
            <w:gridSpan w:val="3"/>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就业困难人员认定</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灵活就业人员申领社会保险补贴</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1" w:lineRule="auto"/>
              <w:ind w:right="198" w:rightChars="0"/>
              <w:jc w:val="center"/>
              <w:rPr>
                <w:rFonts w:ascii="仿宋_GB2312" w:hAnsi="仿宋_GB2312" w:eastAsia="仿宋_GB2312" w:cs="仿宋_GB2312"/>
                <w:sz w:val="22"/>
                <w:szCs w:val="22"/>
                <w:lang w:val="en-US" w:eastAsia="zh-CN" w:bidi="ar-SA"/>
              </w:rPr>
            </w:pPr>
            <w:r>
              <w:rPr>
                <w:sz w:val="22"/>
              </w:rPr>
              <w:t>个人申领职业培训补贴</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eastAsia"/>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ind w:right="0" w:rightChars="0"/>
              <w:jc w:val="center"/>
              <w:rPr>
                <w:sz w:val="22"/>
              </w:rPr>
            </w:pP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个人申领职业技能鉴定补贴</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98</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10</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养</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老</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10.1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养老</w:t>
            </w: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《山东省老年人优待证》办理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政局</w:t>
            </w:r>
          </w:p>
        </w:tc>
        <w:tc>
          <w:tcPr>
            <w:tcW w:w="1552" w:type="dxa"/>
            <w:tcBorders>
              <w:left w:val="single" w:color="auto" w:sz="4" w:space="0"/>
            </w:tcBorders>
            <w:vAlign w:val="center"/>
          </w:tcPr>
          <w:p>
            <w:pPr>
              <w:jc w:val="center"/>
              <w:rPr>
                <w:rFonts w:hint="eastAsia"/>
                <w:lang w:val="en-US" w:eastAsia="zh-CN"/>
              </w:rPr>
            </w:pPr>
            <w:r>
              <w:rPr>
                <w:rFonts w:hint="eastAsia"/>
                <w:lang w:val="en-US" w:eastAsia="zh-CN"/>
              </w:rPr>
              <w:t>县</w:t>
            </w:r>
            <w:r>
              <w:t>卫生健康</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99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spacing w:line="271" w:lineRule="auto"/>
              <w:ind w:right="147" w:rightChars="0"/>
              <w:jc w:val="center"/>
              <w:rPr>
                <w:rFonts w:ascii="仿宋_GB2312" w:hAnsi="仿宋_GB2312" w:eastAsia="仿宋_GB2312" w:cs="仿宋_GB2312"/>
                <w:sz w:val="22"/>
                <w:szCs w:val="22"/>
                <w:lang w:val="en-US" w:eastAsia="zh-CN" w:bidi="ar-SA"/>
              </w:rPr>
            </w:pPr>
            <w:r>
              <w:rPr>
                <w:sz w:val="22"/>
              </w:rPr>
              <w:t>参保人员达到法定退休年龄领取基本养老保险待遇资格确认</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default"/>
                <w:lang w:val="en-US" w:eastAsia="zh-CN"/>
              </w:rPr>
            </w:pPr>
            <w:r>
              <w:t>社会保障</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100</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spacing w:line="273" w:lineRule="auto"/>
              <w:ind w:right="90" w:rightChars="0"/>
              <w:jc w:val="center"/>
              <w:rPr>
                <w:rFonts w:ascii="仿宋_GB2312" w:hAnsi="仿宋_GB2312" w:eastAsia="仿宋_GB2312" w:cs="仿宋_GB2312"/>
                <w:sz w:val="22"/>
                <w:szCs w:val="22"/>
                <w:lang w:val="en-US" w:eastAsia="zh-CN" w:bidi="ar-SA"/>
              </w:rPr>
            </w:pPr>
            <w:r>
              <w:rPr>
                <w:spacing w:val="-12"/>
                <w:sz w:val="22"/>
              </w:rPr>
              <w:t>参保人员因病、特殊工种提前退休领取</w:t>
            </w:r>
            <w:r>
              <w:rPr>
                <w:sz w:val="22"/>
              </w:rPr>
              <w:t>基本养老保险待遇资格确认</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101</w:t>
            </w:r>
          </w:p>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restart"/>
            <w:vAlign w:val="center"/>
          </w:tcPr>
          <w:p>
            <w:pPr>
              <w:pStyle w:val="33"/>
              <w:spacing w:before="154" w:line="273" w:lineRule="auto"/>
              <w:ind w:right="155" w:rightChars="0"/>
              <w:jc w:val="center"/>
              <w:rPr>
                <w:rFonts w:ascii="仿宋_GB2312" w:hAnsi="仿宋_GB2312" w:eastAsia="仿宋_GB2312" w:cs="仿宋_GB2312"/>
                <w:sz w:val="22"/>
                <w:szCs w:val="22"/>
                <w:lang w:val="en-US" w:eastAsia="zh-CN" w:bidi="ar-SA"/>
              </w:rPr>
            </w:pPr>
            <w:r>
              <w:rPr>
                <w:sz w:val="22"/>
              </w:rPr>
              <w:t>养老保险待遇核定支付</w:t>
            </w:r>
          </w:p>
          <w:p>
            <w:pPr>
              <w:pStyle w:val="33"/>
              <w:spacing w:line="273" w:lineRule="auto"/>
              <w:ind w:right="198" w:rightChars="0"/>
              <w:jc w:val="center"/>
              <w:rPr>
                <w:sz w:val="22"/>
              </w:rPr>
            </w:pPr>
          </w:p>
        </w:tc>
        <w:tc>
          <w:tcPr>
            <w:tcW w:w="2793" w:type="dxa"/>
            <w:gridSpan w:val="3"/>
            <w:vAlign w:val="center"/>
          </w:tcPr>
          <w:p>
            <w:pPr>
              <w:pStyle w:val="33"/>
              <w:spacing w:line="273" w:lineRule="auto"/>
              <w:ind w:right="198" w:rightChars="0"/>
              <w:jc w:val="center"/>
              <w:rPr>
                <w:sz w:val="22"/>
              </w:rPr>
            </w:pPr>
            <w:r>
              <w:rPr>
                <w:sz w:val="22"/>
              </w:rPr>
              <w:t>居民养老保险待遇核定</w:t>
            </w:r>
          </w:p>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Merge w:val="continue"/>
            <w:vAlign w:val="center"/>
          </w:tcPr>
          <w:p>
            <w:pPr>
              <w:pStyle w:val="33"/>
              <w:spacing w:line="273" w:lineRule="auto"/>
              <w:ind w:right="198" w:rightChars="0"/>
              <w:jc w:val="center"/>
              <w:rPr>
                <w:sz w:val="22"/>
              </w:rPr>
            </w:pPr>
          </w:p>
        </w:tc>
        <w:tc>
          <w:tcPr>
            <w:tcW w:w="2793" w:type="dxa"/>
            <w:gridSpan w:val="3"/>
            <w:vAlign w:val="center"/>
          </w:tcPr>
          <w:p>
            <w:pPr>
              <w:pStyle w:val="33"/>
              <w:spacing w:line="271" w:lineRule="auto"/>
              <w:ind w:right="198" w:rightChars="0"/>
              <w:jc w:val="center"/>
              <w:rPr>
                <w:sz w:val="22"/>
              </w:rPr>
            </w:pPr>
            <w:r>
              <w:rPr>
                <w:sz w:val="22"/>
              </w:rPr>
              <w:t>企业养老保险待遇核定</w:t>
            </w:r>
          </w:p>
          <w:p>
            <w:pPr>
              <w:pStyle w:val="33"/>
              <w:spacing w:line="271" w:lineRule="auto"/>
              <w:ind w:right="198" w:rightChars="0"/>
              <w:jc w:val="center"/>
              <w:rPr>
                <w:rFonts w:ascii="仿宋_GB2312" w:hAnsi="仿宋_GB2312" w:eastAsia="仿宋_GB2312" w:cs="仿宋_GB2312"/>
                <w:sz w:val="22"/>
                <w:szCs w:val="22"/>
                <w:lang w:val="en-US" w:eastAsia="zh-CN" w:bidi="ar-SA"/>
              </w:rPr>
            </w:pPr>
            <w:r>
              <w:rPr>
                <w:sz w:val="22"/>
              </w:rPr>
              <w:t>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rFonts w:hint="eastAsia"/>
                <w:lang w:val="en-US" w:eastAsia="zh-CN"/>
              </w:rPr>
            </w:pPr>
            <w:r>
              <w:t>社会保障</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Align w:val="center"/>
          </w:tcPr>
          <w:p>
            <w:pPr>
              <w:pStyle w:val="33"/>
              <w:spacing w:before="48"/>
              <w:jc w:val="center"/>
              <w:rPr>
                <w:rFonts w:ascii="仿宋_GB2312" w:hAnsi="仿宋_GB2312" w:eastAsia="仿宋_GB2312" w:cs="仿宋_GB2312"/>
                <w:sz w:val="22"/>
                <w:szCs w:val="22"/>
                <w:lang w:val="en-US" w:eastAsia="zh-CN" w:bidi="ar-SA"/>
              </w:rPr>
            </w:pPr>
            <w:r>
              <w:rPr>
                <w:sz w:val="22"/>
              </w:rPr>
              <w:t>职工申请提取住房公积金的核准</w:t>
            </w:r>
          </w:p>
        </w:tc>
        <w:tc>
          <w:tcPr>
            <w:tcW w:w="2793" w:type="dxa"/>
            <w:gridSpan w:val="3"/>
            <w:vAlign w:val="center"/>
          </w:tcPr>
          <w:p>
            <w:pPr>
              <w:pStyle w:val="33"/>
              <w:spacing w:line="273" w:lineRule="auto"/>
              <w:ind w:right="50" w:rightChars="0"/>
              <w:jc w:val="center"/>
              <w:rPr>
                <w:rFonts w:ascii="仿宋_GB2312" w:hAnsi="仿宋_GB2312" w:eastAsia="仿宋_GB2312" w:cs="仿宋_GB2312"/>
                <w:sz w:val="22"/>
                <w:szCs w:val="22"/>
                <w:lang w:val="en-US" w:eastAsia="zh-CN" w:bidi="ar-SA"/>
              </w:rPr>
            </w:pPr>
            <w:r>
              <w:rPr>
                <w:sz w:val="22"/>
              </w:rPr>
              <w:t>离休、退休提取住房公积金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rFonts w:hint="default"/>
                <w:lang w:val="en-US" w:eastAsia="zh-CN"/>
              </w:rP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1263" w:type="dxa"/>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社会保险登记</w:t>
            </w:r>
          </w:p>
        </w:tc>
        <w:tc>
          <w:tcPr>
            <w:tcW w:w="2793" w:type="dxa"/>
            <w:gridSpan w:val="3"/>
            <w:vAlign w:val="center"/>
          </w:tcPr>
          <w:p>
            <w:pPr>
              <w:pStyle w:val="33"/>
              <w:spacing w:line="273" w:lineRule="auto"/>
              <w:ind w:right="198" w:rightChars="0"/>
              <w:jc w:val="center"/>
              <w:rPr>
                <w:rFonts w:ascii="仿宋_GB2312" w:hAnsi="仿宋_GB2312" w:eastAsia="仿宋_GB2312" w:cs="仿宋_GB2312"/>
                <w:sz w:val="22"/>
                <w:szCs w:val="22"/>
                <w:lang w:val="en-US" w:eastAsia="zh-CN" w:bidi="ar-SA"/>
              </w:rPr>
            </w:pPr>
            <w:r>
              <w:rPr>
                <w:sz w:val="22"/>
              </w:rPr>
              <w:t>待遇发放账号信息维护</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rPr>
                <w:lang w:val="en-US" w:eastAsia="zh-CN"/>
              </w:rP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104</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ind w:right="0" w:rightChars="0"/>
              <w:jc w:val="center"/>
              <w:rPr>
                <w:rFonts w:ascii="仿宋_GB2312" w:hAnsi="仿宋_GB2312" w:eastAsia="仿宋_GB2312" w:cs="仿宋_GB2312"/>
                <w:sz w:val="22"/>
                <w:szCs w:val="22"/>
                <w:lang w:val="en-US" w:eastAsia="zh-CN" w:bidi="ar-SA"/>
              </w:rPr>
            </w:pPr>
            <w:r>
              <w:rPr>
                <w:sz w:val="22"/>
              </w:rPr>
              <w:t>高龄津贴发放</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卫生健康</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105</w:t>
            </w:r>
          </w:p>
        </w:tc>
        <w:tc>
          <w:tcPr>
            <w:tcW w:w="50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11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身</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后</w:t>
            </w: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11.1</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后事</w:t>
            </w:r>
          </w:p>
        </w:tc>
        <w:tc>
          <w:tcPr>
            <w:tcW w:w="4056" w:type="dxa"/>
            <w:gridSpan w:val="4"/>
            <w:vAlign w:val="center"/>
          </w:tcPr>
          <w:p>
            <w:pPr>
              <w:pStyle w:val="33"/>
              <w:spacing w:before="1"/>
              <w:ind w:right="0" w:rightChars="0"/>
              <w:jc w:val="center"/>
              <w:rPr>
                <w:rFonts w:ascii="仿宋_GB2312" w:hAnsi="仿宋_GB2312" w:eastAsia="仿宋_GB2312" w:cs="仿宋_GB2312"/>
                <w:sz w:val="22"/>
                <w:szCs w:val="22"/>
                <w:lang w:val="en-US" w:eastAsia="zh-CN" w:bidi="ar-SA"/>
              </w:rPr>
            </w:pPr>
            <w:r>
              <w:rPr>
                <w:sz w:val="22"/>
              </w:rPr>
              <w:t>死亡医学证明办理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2"/>
              </w:rPr>
            </w:pPr>
            <w:r>
              <w:rPr>
                <w:rFonts w:hint="eastAsia"/>
                <w:sz w:val="22"/>
                <w:lang w:val="en-US" w:eastAsia="zh-CN"/>
              </w:rPr>
              <w:t>县</w:t>
            </w:r>
            <w:r>
              <w:rPr>
                <w:sz w:val="22"/>
              </w:rPr>
              <w:t>民</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r>
              <w:rPr>
                <w:sz w:val="22"/>
              </w:rPr>
              <w:t>政局</w:t>
            </w:r>
          </w:p>
        </w:tc>
        <w:tc>
          <w:tcPr>
            <w:tcW w:w="1552" w:type="dxa"/>
            <w:tcBorders>
              <w:left w:val="single" w:color="auto" w:sz="4" w:space="0"/>
            </w:tcBorders>
            <w:vAlign w:val="center"/>
          </w:tcPr>
          <w:p>
            <w:pPr>
              <w:jc w:val="center"/>
              <w:rPr>
                <w:lang w:val="en-US" w:eastAsia="zh-CN"/>
              </w:rPr>
            </w:pPr>
            <w:r>
              <w:rPr>
                <w:rFonts w:hint="eastAsia"/>
                <w:lang w:val="en-US" w:eastAsia="zh-CN"/>
              </w:rPr>
              <w:t>县</w:t>
            </w:r>
            <w:r>
              <w:t>卫生健康</w:t>
            </w:r>
            <w:r>
              <w:rPr>
                <w:rFonts w:hint="eastAsia"/>
                <w:lang w:val="en-US" w:eastAsia="zh-CN"/>
              </w:rPr>
              <w:t>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106</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ind w:right="0" w:rightChars="0"/>
              <w:jc w:val="center"/>
              <w:rPr>
                <w:sz w:val="22"/>
                <w:lang w:val="en-US" w:eastAsia="zh-CN"/>
              </w:rPr>
            </w:pPr>
            <w:r>
              <w:rPr>
                <w:sz w:val="22"/>
              </w:rPr>
              <w:t>火化遗体</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107</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ind w:right="0" w:rightChars="0"/>
              <w:jc w:val="center"/>
              <w:rPr>
                <w:sz w:val="22"/>
                <w:lang w:val="en-US" w:eastAsia="zh-CN"/>
              </w:rPr>
            </w:pPr>
            <w:r>
              <w:rPr>
                <w:rFonts w:hint="eastAsia"/>
                <w:sz w:val="22"/>
                <w:lang w:val="en-US" w:eastAsia="zh-CN"/>
              </w:rPr>
              <w:t>火</w:t>
            </w:r>
            <w:r>
              <w:rPr>
                <w:sz w:val="22"/>
              </w:rPr>
              <w:t>化证明</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其他</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lang w:val="en-US" w:eastAsia="zh-CN"/>
              </w:rPr>
            </w:pPr>
            <w:r>
              <w:rPr>
                <w:rFonts w:hint="eastAsia"/>
                <w:lang w:val="en-US" w:eastAsia="zh-CN"/>
              </w:rPr>
              <w:t>县</w:t>
            </w:r>
            <w:r>
              <w:t>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108</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4056" w:type="dxa"/>
            <w:gridSpan w:val="4"/>
            <w:vAlign w:val="center"/>
          </w:tcPr>
          <w:p>
            <w:pPr>
              <w:pStyle w:val="33"/>
              <w:ind w:right="0" w:rightChars="0"/>
              <w:jc w:val="center"/>
              <w:rPr>
                <w:sz w:val="22"/>
                <w:lang w:val="en-US" w:eastAsia="zh-CN"/>
              </w:rPr>
            </w:pPr>
            <w:r>
              <w:rPr>
                <w:sz w:val="22"/>
              </w:rPr>
              <w:t>户口注销（死亡注销）</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rPr>
                <w:lang w:val="en-US" w:eastAsia="zh-CN"/>
              </w:rPr>
            </w:pPr>
            <w:r>
              <w:rPr>
                <w:rFonts w:hint="eastAsia"/>
                <w:lang w:val="en-US" w:eastAsia="zh-CN"/>
              </w:rPr>
              <w:t>县</w:t>
            </w:r>
            <w:r>
              <w:t>公安局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109</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p>
        </w:tc>
        <w:tc>
          <w:tcPr>
            <w:tcW w:w="70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11.2</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pacing w:val="-9"/>
                <w:sz w:val="22"/>
              </w:rPr>
            </w:pPr>
            <w:r>
              <w:rPr>
                <w:spacing w:val="-9"/>
                <w:sz w:val="22"/>
              </w:rPr>
              <w:t>继承</w:t>
            </w:r>
          </w:p>
        </w:tc>
        <w:tc>
          <w:tcPr>
            <w:tcW w:w="4056" w:type="dxa"/>
            <w:gridSpan w:val="4"/>
            <w:vAlign w:val="center"/>
          </w:tcPr>
          <w:p>
            <w:pPr>
              <w:pStyle w:val="33"/>
              <w:spacing w:line="273" w:lineRule="auto"/>
              <w:ind w:right="147" w:rightChars="0"/>
              <w:jc w:val="center"/>
              <w:rPr>
                <w:sz w:val="22"/>
              </w:rPr>
            </w:pPr>
            <w:r>
              <w:rPr>
                <w:sz w:val="22"/>
              </w:rPr>
              <w:t>失业人员一次性丧葬补助金及抚恤金</w:t>
            </w:r>
          </w:p>
          <w:p>
            <w:pPr>
              <w:pStyle w:val="33"/>
              <w:spacing w:line="273" w:lineRule="auto"/>
              <w:ind w:right="147" w:rightChars="0"/>
              <w:jc w:val="center"/>
              <w:rPr>
                <w:rFonts w:ascii="仿宋_GB2312" w:hAnsi="仿宋_GB2312" w:eastAsia="仿宋_GB2312" w:cs="仿宋_GB2312"/>
                <w:sz w:val="22"/>
                <w:szCs w:val="22"/>
                <w:lang w:val="en-US" w:eastAsia="zh-CN" w:bidi="ar-SA"/>
              </w:rPr>
            </w:pPr>
            <w:r>
              <w:rPr>
                <w:sz w:val="22"/>
              </w:rPr>
              <w:t>申领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2"/>
              </w:rPr>
            </w:pPr>
            <w:r>
              <w:rPr>
                <w:rFonts w:hint="eastAsia"/>
                <w:sz w:val="22"/>
                <w:lang w:val="en-US" w:eastAsia="zh-CN"/>
              </w:rPr>
              <w:t>县</w:t>
            </w:r>
            <w:r>
              <w:rPr>
                <w:sz w:val="22"/>
              </w:rPr>
              <w:t>人</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2"/>
              </w:rPr>
            </w:pPr>
            <w:r>
              <w:rPr>
                <w:sz w:val="22"/>
              </w:rPr>
              <w:t>力资</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2"/>
              </w:rPr>
            </w:pPr>
            <w:r>
              <w:rPr>
                <w:sz w:val="22"/>
              </w:rPr>
              <w:t>源和</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2"/>
              </w:rPr>
            </w:pPr>
            <w:r>
              <w:rPr>
                <w:sz w:val="22"/>
              </w:rPr>
              <w:t>社会</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2"/>
              </w:rPr>
            </w:pPr>
            <w:r>
              <w:rPr>
                <w:sz w:val="22"/>
              </w:rPr>
              <w:t>保障</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sz w:val="2"/>
                <w:szCs w:val="2"/>
              </w:rPr>
            </w:pPr>
            <w:r>
              <w:rPr>
                <w:sz w:val="22"/>
              </w:rPr>
              <w:t>局</w:t>
            </w:r>
          </w:p>
        </w:tc>
        <w:tc>
          <w:tcPr>
            <w:tcW w:w="1552" w:type="dxa"/>
            <w:tcBorders>
              <w:left w:val="single" w:color="auto" w:sz="4" w:space="0"/>
            </w:tcBorders>
            <w:vAlign w:val="center"/>
          </w:tcPr>
          <w:p>
            <w:pPr>
              <w:jc w:val="center"/>
              <w:rPr>
                <w:lang w:val="en-US" w:eastAsia="zh-CN"/>
              </w:rPr>
            </w:pPr>
            <w:r>
              <w:rPr>
                <w:rFonts w:hint="eastAsia"/>
                <w:lang w:val="en-US" w:eastAsia="zh-CN"/>
              </w:rPr>
              <w:t>县</w:t>
            </w:r>
            <w:r>
              <w:rPr>
                <w:lang w:val="en-US" w:eastAsia="zh-CN"/>
              </w:rPr>
              <w:t>人力资源和</w:t>
            </w:r>
          </w:p>
          <w:p>
            <w:pPr>
              <w:jc w:val="center"/>
            </w:pPr>
            <w:r>
              <w:rPr>
                <w:lang w:val="en-US" w:eastAsia="zh-CN"/>
              </w:rP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exact"/>
        </w:trPr>
        <w:tc>
          <w:tcPr>
            <w:tcW w:w="590" w:type="dxa"/>
            <w:vMerge w:val="restart"/>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110</w:t>
            </w:r>
          </w:p>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restart"/>
            <w:vAlign w:val="center"/>
          </w:tcPr>
          <w:p>
            <w:pPr>
              <w:pStyle w:val="33"/>
              <w:spacing w:before="187" w:line="273" w:lineRule="auto"/>
              <w:ind w:right="155" w:rightChars="0"/>
              <w:jc w:val="center"/>
              <w:rPr>
                <w:rFonts w:ascii="仿宋_GB2312" w:hAnsi="仿宋_GB2312" w:eastAsia="仿宋_GB2312" w:cs="仿宋_GB2312"/>
                <w:sz w:val="22"/>
                <w:szCs w:val="22"/>
                <w:lang w:val="en-US" w:eastAsia="zh-CN" w:bidi="ar-SA"/>
              </w:rPr>
            </w:pPr>
            <w:r>
              <w:rPr>
                <w:sz w:val="22"/>
              </w:rPr>
              <w:t>养老保险待遇核定支付</w:t>
            </w:r>
          </w:p>
        </w:tc>
        <w:tc>
          <w:tcPr>
            <w:tcW w:w="2793" w:type="dxa"/>
            <w:gridSpan w:val="3"/>
            <w:vAlign w:val="center"/>
          </w:tcPr>
          <w:p>
            <w:pPr>
              <w:pStyle w:val="33"/>
              <w:spacing w:before="10" w:line="320" w:lineRule="atLeast"/>
              <w:ind w:right="198" w:rightChars="0"/>
              <w:jc w:val="center"/>
              <w:rPr>
                <w:rFonts w:ascii="仿宋_GB2312" w:hAnsi="仿宋_GB2312" w:eastAsia="仿宋_GB2312" w:cs="仿宋_GB2312"/>
                <w:sz w:val="22"/>
                <w:szCs w:val="22"/>
                <w:lang w:val="en-US" w:eastAsia="zh-CN" w:bidi="ar-SA"/>
              </w:rPr>
            </w:pPr>
            <w:r>
              <w:rPr>
                <w:sz w:val="22"/>
              </w:rPr>
              <w:t>企业职工基本养老保险一次性待遇申领（在职）</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spacing w:line="273" w:lineRule="auto"/>
              <w:ind w:right="198" w:rightChars="0"/>
              <w:jc w:val="center"/>
              <w:rPr>
                <w:sz w:val="22"/>
              </w:rPr>
            </w:pPr>
          </w:p>
        </w:tc>
        <w:tc>
          <w:tcPr>
            <w:tcW w:w="2793" w:type="dxa"/>
            <w:gridSpan w:val="3"/>
            <w:vAlign w:val="center"/>
          </w:tcPr>
          <w:p>
            <w:pPr>
              <w:pStyle w:val="33"/>
              <w:spacing w:before="18" w:line="271" w:lineRule="auto"/>
              <w:ind w:right="90"/>
              <w:jc w:val="center"/>
              <w:rPr>
                <w:rFonts w:ascii="仿宋_GB2312" w:hAnsi="仿宋_GB2312" w:eastAsia="仿宋_GB2312" w:cs="仿宋_GB2312"/>
                <w:sz w:val="22"/>
                <w:szCs w:val="22"/>
                <w:lang w:val="en-US" w:eastAsia="zh-CN" w:bidi="ar-SA"/>
              </w:rPr>
            </w:pPr>
            <w:r>
              <w:rPr>
                <w:sz w:val="22"/>
              </w:rPr>
              <w:t>企业职工基本养老保险个人账户一次</w:t>
            </w:r>
            <w:r>
              <w:rPr>
                <w:spacing w:val="-1"/>
                <w:sz w:val="22"/>
              </w:rPr>
              <w:t>性待遇申领</w:t>
            </w:r>
            <w:r>
              <w:rPr>
                <w:sz w:val="22"/>
              </w:rPr>
              <w:t>（</w:t>
            </w:r>
            <w:r>
              <w:rPr>
                <w:spacing w:val="-6"/>
                <w:sz w:val="22"/>
              </w:rPr>
              <w:t>退休人</w:t>
            </w:r>
            <w:r>
              <w:rPr>
                <w:sz w:val="22"/>
              </w:rPr>
              <w:t>员死亡）</w:t>
            </w:r>
          </w:p>
        </w:tc>
        <w:tc>
          <w:tcPr>
            <w:tcW w:w="1163" w:type="dxa"/>
            <w:tcBorders>
              <w:right w:val="single" w:color="auto" w:sz="4" w:space="0"/>
            </w:tcBorders>
            <w:vAlign w:val="center"/>
          </w:tcPr>
          <w:p>
            <w:pPr>
              <w:pStyle w:val="33"/>
              <w:ind w:right="0" w:rightChars="0"/>
              <w:jc w:val="center"/>
              <w:rPr>
                <w:sz w:val="22"/>
              </w:rPr>
            </w:pPr>
          </w:p>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pStyle w:val="33"/>
              <w:spacing w:line="273" w:lineRule="auto"/>
              <w:ind w:right="198" w:rightChars="0"/>
              <w:jc w:val="center"/>
              <w:rPr>
                <w:sz w:val="22"/>
              </w:rPr>
            </w:pPr>
          </w:p>
        </w:tc>
        <w:tc>
          <w:tcPr>
            <w:tcW w:w="2793" w:type="dxa"/>
            <w:gridSpan w:val="3"/>
            <w:vAlign w:val="center"/>
          </w:tcPr>
          <w:p>
            <w:pPr>
              <w:pStyle w:val="33"/>
              <w:spacing w:before="48" w:line="271" w:lineRule="auto"/>
              <w:ind w:right="91"/>
              <w:jc w:val="center"/>
              <w:rPr>
                <w:sz w:val="22"/>
              </w:rPr>
            </w:pPr>
            <w:r>
              <w:rPr>
                <w:sz w:val="22"/>
              </w:rPr>
              <w:t>企业离退休人员丧</w:t>
            </w:r>
            <w:r>
              <w:rPr>
                <w:spacing w:val="-3"/>
                <w:sz w:val="22"/>
              </w:rPr>
              <w:t>葬补助金、抚恤金申</w:t>
            </w:r>
          </w:p>
          <w:p>
            <w:pPr>
              <w:pStyle w:val="33"/>
              <w:spacing w:before="3"/>
              <w:ind w:left="16" w:leftChars="0" w:right="0" w:rightChars="0"/>
              <w:jc w:val="center"/>
              <w:rPr>
                <w:rFonts w:ascii="仿宋_GB2312" w:hAnsi="仿宋_GB2312" w:eastAsia="仿宋_GB2312" w:cs="仿宋_GB2312"/>
                <w:sz w:val="22"/>
                <w:szCs w:val="22"/>
                <w:lang w:val="en-US" w:eastAsia="zh-CN" w:bidi="ar-SA"/>
              </w:rPr>
            </w:pPr>
            <w:r>
              <w:t>领</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exact"/>
        </w:trPr>
        <w:tc>
          <w:tcPr>
            <w:tcW w:w="590" w:type="dxa"/>
            <w:vMerge w:val="continue"/>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263" w:type="dxa"/>
            <w:vMerge w:val="continue"/>
            <w:vAlign w:val="center"/>
          </w:tcPr>
          <w:p>
            <w:pPr>
              <w:ind w:left="0" w:leftChars="0" w:right="0" w:rightChars="0"/>
              <w:jc w:val="center"/>
              <w:rPr>
                <w:rFonts w:ascii="仿宋_GB2312" w:hAnsi="仿宋_GB2312" w:eastAsia="仿宋_GB2312" w:cs="仿宋_GB2312"/>
                <w:sz w:val="2"/>
                <w:szCs w:val="2"/>
                <w:lang w:val="en-US" w:eastAsia="zh-CN" w:bidi="ar-SA"/>
              </w:rPr>
            </w:pPr>
          </w:p>
        </w:tc>
        <w:tc>
          <w:tcPr>
            <w:tcW w:w="2793" w:type="dxa"/>
            <w:gridSpan w:val="3"/>
            <w:vAlign w:val="center"/>
          </w:tcPr>
          <w:p>
            <w:pPr>
              <w:pStyle w:val="33"/>
              <w:spacing w:before="48"/>
              <w:jc w:val="center"/>
              <w:rPr>
                <w:sz w:val="22"/>
              </w:rPr>
            </w:pPr>
            <w:r>
              <w:rPr>
                <w:sz w:val="22"/>
              </w:rPr>
              <w:t>居民养老保险注销</w:t>
            </w:r>
          </w:p>
          <w:p>
            <w:pPr>
              <w:pStyle w:val="33"/>
              <w:spacing w:before="1" w:line="320" w:lineRule="atLeast"/>
              <w:ind w:left="658" w:leftChars="0" w:right="198" w:rightChars="0" w:hanging="440" w:firstLineChars="0"/>
              <w:jc w:val="center"/>
              <w:rPr>
                <w:rFonts w:ascii="仿宋_GB2312" w:hAnsi="仿宋_GB2312" w:eastAsia="仿宋_GB2312" w:cs="仿宋_GB2312"/>
                <w:sz w:val="22"/>
                <w:szCs w:val="22"/>
                <w:lang w:val="en-US" w:eastAsia="zh-CN" w:bidi="ar-SA"/>
              </w:rPr>
            </w:pPr>
            <w:r>
              <w:rPr>
                <w:sz w:val="22"/>
              </w:rPr>
              <w:t>登记及一次性待遇核定支付</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人力资源和</w:t>
            </w:r>
          </w:p>
          <w:p>
            <w:pPr>
              <w:jc w:val="center"/>
            </w:pPr>
            <w:r>
              <w:t>社会保障局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111</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3" w:lineRule="auto"/>
              <w:ind w:right="90" w:rightChars="0"/>
              <w:jc w:val="center"/>
              <w:rPr>
                <w:rFonts w:ascii="仿宋_GB2312" w:hAnsi="仿宋_GB2312" w:eastAsia="仿宋_GB2312" w:cs="仿宋_GB2312"/>
                <w:sz w:val="22"/>
                <w:szCs w:val="22"/>
                <w:lang w:val="en-US" w:eastAsia="zh-CN" w:bidi="ar-SA"/>
              </w:rPr>
            </w:pPr>
            <w:r>
              <w:rPr>
                <w:spacing w:val="-8"/>
                <w:sz w:val="22"/>
              </w:rPr>
              <w:t>职工申请提取住房公积金的核准</w:t>
            </w:r>
            <w:r>
              <w:rPr>
                <w:sz w:val="22"/>
              </w:rPr>
              <w:t>（</w:t>
            </w:r>
            <w:r>
              <w:rPr>
                <w:spacing w:val="-8"/>
                <w:sz w:val="22"/>
              </w:rPr>
              <w:t>死亡</w:t>
            </w:r>
            <w:r>
              <w:rPr>
                <w:sz w:val="22"/>
              </w:rPr>
              <w:t>或被宣告死亡提取住房公积金）</w:t>
            </w:r>
          </w:p>
        </w:tc>
        <w:tc>
          <w:tcPr>
            <w:tcW w:w="1163" w:type="dxa"/>
            <w:tcBorders>
              <w:right w:val="single" w:color="auto" w:sz="4" w:space="0"/>
            </w:tcBorders>
            <w:vAlign w:val="center"/>
          </w:tcPr>
          <w:p>
            <w:pPr>
              <w:pStyle w:val="33"/>
              <w:ind w:right="0" w:rightChars="0"/>
              <w:jc w:val="center"/>
              <w:rPr>
                <w:sz w:val="22"/>
              </w:rPr>
            </w:pPr>
            <w:r>
              <w:rPr>
                <w:sz w:val="22"/>
              </w:rPr>
              <w:t>其他行政</w:t>
            </w:r>
          </w:p>
          <w:p>
            <w:pPr>
              <w:pStyle w:val="33"/>
              <w:ind w:right="0" w:rightChars="0"/>
              <w:jc w:val="center"/>
              <w:rPr>
                <w:sz w:val="22"/>
                <w:lang w:val="en-US" w:eastAsia="zh-CN"/>
              </w:rPr>
            </w:pPr>
            <w:r>
              <w:rPr>
                <w:sz w:val="22"/>
              </w:rPr>
              <w:t>权力</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市</w:t>
            </w:r>
            <w:r>
              <w:t>住房公积金中心</w:t>
            </w:r>
            <w:r>
              <w:rPr>
                <w:rFonts w:hint="eastAsia"/>
                <w:lang w:val="en-US" w:eastAsia="zh-CN"/>
              </w:rPr>
              <w:t>郯城县分中心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112</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spacing w:line="271" w:lineRule="auto"/>
              <w:ind w:right="91" w:rightChars="0"/>
              <w:jc w:val="center"/>
              <w:rPr>
                <w:rFonts w:ascii="仿宋_GB2312" w:hAnsi="仿宋_GB2312" w:eastAsia="仿宋_GB2312" w:cs="仿宋_GB2312"/>
                <w:sz w:val="22"/>
                <w:szCs w:val="22"/>
                <w:lang w:val="en-US" w:eastAsia="zh-CN" w:bidi="ar-SA"/>
              </w:rPr>
            </w:pPr>
            <w:r>
              <w:rPr>
                <w:spacing w:val="-11"/>
                <w:sz w:val="22"/>
              </w:rPr>
              <w:t>不动产登记</w:t>
            </w:r>
            <w:r>
              <w:rPr>
                <w:sz w:val="22"/>
              </w:rPr>
              <w:t>（</w:t>
            </w:r>
            <w:r>
              <w:rPr>
                <w:spacing w:val="-8"/>
                <w:sz w:val="22"/>
              </w:rPr>
              <w:t>房屋等建筑物、构筑物所</w:t>
            </w:r>
            <w:r>
              <w:rPr>
                <w:sz w:val="22"/>
              </w:rPr>
              <w:t>有权转移登记-继承或受遗赠）</w:t>
            </w:r>
          </w:p>
        </w:tc>
        <w:tc>
          <w:tcPr>
            <w:tcW w:w="1163" w:type="dxa"/>
            <w:tcBorders>
              <w:right w:val="single" w:color="auto" w:sz="4" w:space="0"/>
            </w:tcBorders>
            <w:vAlign w:val="center"/>
          </w:tcPr>
          <w:p>
            <w:pPr>
              <w:pStyle w:val="33"/>
              <w:ind w:right="0" w:rightChars="0"/>
              <w:jc w:val="center"/>
              <w:rPr>
                <w:sz w:val="22"/>
                <w:lang w:val="en-US" w:eastAsia="zh-CN"/>
              </w:rPr>
            </w:pPr>
            <w:r>
              <w:rPr>
                <w:sz w:val="22"/>
              </w:rPr>
              <w:t>行政确认</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自然资源和</w:t>
            </w:r>
          </w:p>
          <w:p>
            <w:pPr>
              <w:jc w:val="center"/>
            </w:pPr>
            <w:r>
              <w:t>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exact"/>
        </w:trPr>
        <w:tc>
          <w:tcPr>
            <w:tcW w:w="590" w:type="dxa"/>
            <w:vAlign w:val="center"/>
          </w:tcPr>
          <w:p>
            <w:pPr>
              <w:pStyle w:val="33"/>
              <w:keepNext w:val="0"/>
              <w:keepLines w:val="0"/>
              <w:pageBreakBefore w:val="0"/>
              <w:widowControl w:val="0"/>
              <w:kinsoku/>
              <w:wordWrap/>
              <w:overflowPunct/>
              <w:topLinePunct w:val="0"/>
              <w:autoSpaceDE w:val="0"/>
              <w:autoSpaceDN w:val="0"/>
              <w:bidi w:val="0"/>
              <w:adjustRightInd/>
              <w:snapToGrid/>
              <w:spacing w:line="440" w:lineRule="exact"/>
              <w:ind w:right="172"/>
              <w:jc w:val="center"/>
              <w:textAlignment w:val="auto"/>
              <w:rPr>
                <w:rFonts w:hint="default"/>
                <w:sz w:val="22"/>
                <w:lang w:val="en-US" w:eastAsia="zh-CN"/>
              </w:rPr>
            </w:pPr>
            <w:r>
              <w:rPr>
                <w:rFonts w:hint="eastAsia"/>
                <w:sz w:val="22"/>
                <w:lang w:val="en-US" w:eastAsia="zh-CN"/>
              </w:rPr>
              <w:t>113</w:t>
            </w:r>
          </w:p>
        </w:tc>
        <w:tc>
          <w:tcPr>
            <w:tcW w:w="50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70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4056" w:type="dxa"/>
            <w:gridSpan w:val="4"/>
            <w:vAlign w:val="center"/>
          </w:tcPr>
          <w:p>
            <w:pPr>
              <w:pStyle w:val="33"/>
              <w:ind w:right="1450" w:rightChars="0"/>
              <w:jc w:val="center"/>
              <w:rPr>
                <w:rFonts w:ascii="仿宋_GB2312" w:hAnsi="仿宋_GB2312" w:eastAsia="仿宋_GB2312" w:cs="仿宋_GB2312"/>
                <w:sz w:val="22"/>
                <w:szCs w:val="22"/>
                <w:lang w:val="en-US" w:eastAsia="zh-CN" w:bidi="ar-SA"/>
              </w:rPr>
            </w:pPr>
            <w:r>
              <w:rPr>
                <w:rFonts w:hint="eastAsia"/>
                <w:sz w:val="22"/>
                <w:lang w:val="en-US" w:eastAsia="zh-CN"/>
              </w:rPr>
              <w:t xml:space="preserve">          </w:t>
            </w:r>
            <w:r>
              <w:rPr>
                <w:sz w:val="22"/>
              </w:rPr>
              <w:t>司法公证</w:t>
            </w:r>
          </w:p>
        </w:tc>
        <w:tc>
          <w:tcPr>
            <w:tcW w:w="1163" w:type="dxa"/>
            <w:tcBorders>
              <w:right w:val="single" w:color="auto" w:sz="4" w:space="0"/>
            </w:tcBorders>
            <w:vAlign w:val="center"/>
          </w:tcPr>
          <w:p>
            <w:pPr>
              <w:pStyle w:val="33"/>
              <w:ind w:right="0" w:rightChars="0"/>
              <w:jc w:val="center"/>
              <w:rPr>
                <w:sz w:val="22"/>
                <w:lang w:val="en-US" w:eastAsia="zh-CN"/>
              </w:rPr>
            </w:pPr>
            <w:r>
              <w:rPr>
                <w:sz w:val="22"/>
              </w:rPr>
              <w:t>公共服务</w:t>
            </w:r>
          </w:p>
        </w:tc>
        <w:tc>
          <w:tcPr>
            <w:tcW w:w="81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sz w:val="2"/>
                <w:szCs w:val="2"/>
              </w:rPr>
            </w:pPr>
          </w:p>
        </w:tc>
        <w:tc>
          <w:tcPr>
            <w:tcW w:w="1552" w:type="dxa"/>
            <w:tcBorders>
              <w:left w:val="single" w:color="auto" w:sz="4" w:space="0"/>
            </w:tcBorders>
            <w:vAlign w:val="center"/>
          </w:tcPr>
          <w:p>
            <w:pPr>
              <w:jc w:val="center"/>
            </w:pPr>
            <w:r>
              <w:rPr>
                <w:rFonts w:hint="eastAsia"/>
                <w:lang w:val="en-US" w:eastAsia="zh-CN"/>
              </w:rPr>
              <w:t>县</w:t>
            </w:r>
            <w:r>
              <w:t>司法局</w:t>
            </w:r>
          </w:p>
        </w:tc>
      </w:tr>
    </w:tbl>
    <w:p>
      <w:pPr>
        <w:spacing w:after="0"/>
        <w:jc w:val="both"/>
        <w:rPr>
          <w:sz w:val="22"/>
        </w:rPr>
        <w:sectPr>
          <w:pgSz w:w="11910" w:h="16840"/>
          <w:pgMar w:top="1600" w:right="760" w:bottom="1160" w:left="1460" w:header="0" w:footer="1200" w:gutter="0"/>
          <w:pgNumType w:fmt="decimal"/>
          <w:cols w:space="720" w:num="1"/>
        </w:sectPr>
      </w:pPr>
    </w:p>
    <w:p>
      <w:pPr>
        <w:spacing w:before="61"/>
        <w:ind w:right="0"/>
        <w:jc w:val="both"/>
        <w:rPr>
          <w:rFonts w:ascii="黑体"/>
          <w:sz w:val="32"/>
          <w:szCs w:val="32"/>
        </w:rPr>
      </w:pPr>
      <w:r>
        <w:rPr>
          <w:rFonts w:hint="eastAsia" w:ascii="黑体" w:eastAsia="黑体"/>
          <w:sz w:val="32"/>
          <w:szCs w:val="32"/>
        </w:rPr>
        <w:t>附件 3</w:t>
      </w:r>
    </w:p>
    <w:p>
      <w:pPr>
        <w:pStyle w:val="4"/>
        <w:spacing w:before="11"/>
        <w:jc w:val="both"/>
        <w:rPr>
          <w:rFonts w:ascii="黑体"/>
          <w:sz w:val="17"/>
        </w:rPr>
      </w:pPr>
    </w:p>
    <w:p>
      <w:pPr>
        <w:pStyle w:val="3"/>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lang w:val="en-US" w:eastAsia="zh-CN"/>
        </w:rPr>
        <w:t>郯城县</w:t>
      </w:r>
      <w:r>
        <w:rPr>
          <w:rFonts w:hint="eastAsia" w:ascii="方正小标宋简体" w:hAnsi="方正小标宋简体" w:eastAsia="方正小标宋简体" w:cs="方正小标宋简体"/>
        </w:rPr>
        <w:t>“双全双百”工程任务配档表</w:t>
      </w:r>
    </w:p>
    <w:p>
      <w:pPr>
        <w:pStyle w:val="4"/>
        <w:spacing w:before="12"/>
        <w:jc w:val="both"/>
        <w:rPr>
          <w:sz w:val="19"/>
        </w:r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731"/>
        <w:gridCol w:w="4403"/>
        <w:gridCol w:w="772"/>
        <w:gridCol w:w="1143"/>
        <w:gridCol w:w="1225"/>
        <w:gridCol w:w="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455" w:type="dxa"/>
          </w:tcPr>
          <w:p>
            <w:pPr>
              <w:pStyle w:val="33"/>
              <w:spacing w:before="7"/>
              <w:jc w:val="center"/>
              <w:rPr>
                <w:rFonts w:ascii="宋体"/>
                <w:sz w:val="16"/>
                <w:szCs w:val="22"/>
              </w:rPr>
            </w:pPr>
          </w:p>
          <w:p>
            <w:pPr>
              <w:pStyle w:val="33"/>
              <w:spacing w:line="244" w:lineRule="auto"/>
              <w:ind w:left="116" w:right="107" w:firstLine="1"/>
              <w:jc w:val="center"/>
              <w:rPr>
                <w:rFonts w:hint="eastAsia" w:ascii="黑体" w:eastAsia="黑体"/>
                <w:sz w:val="22"/>
                <w:szCs w:val="22"/>
              </w:rPr>
            </w:pPr>
            <w:r>
              <w:rPr>
                <w:rFonts w:hint="eastAsia" w:ascii="黑体" w:eastAsia="黑体"/>
                <w:sz w:val="22"/>
                <w:szCs w:val="22"/>
              </w:rPr>
              <w:t>序号</w:t>
            </w:r>
          </w:p>
        </w:tc>
        <w:tc>
          <w:tcPr>
            <w:tcW w:w="731" w:type="dxa"/>
          </w:tcPr>
          <w:p>
            <w:pPr>
              <w:pStyle w:val="33"/>
              <w:spacing w:before="7"/>
              <w:jc w:val="center"/>
              <w:rPr>
                <w:rFonts w:ascii="宋体"/>
                <w:sz w:val="16"/>
                <w:szCs w:val="22"/>
              </w:rPr>
            </w:pPr>
          </w:p>
          <w:p>
            <w:pPr>
              <w:pStyle w:val="33"/>
              <w:spacing w:line="244" w:lineRule="auto"/>
              <w:ind w:left="143" w:right="132" w:firstLine="1"/>
              <w:jc w:val="center"/>
              <w:rPr>
                <w:rFonts w:hint="eastAsia" w:ascii="黑体" w:eastAsia="黑体"/>
                <w:sz w:val="22"/>
                <w:szCs w:val="22"/>
              </w:rPr>
            </w:pPr>
            <w:r>
              <w:rPr>
                <w:rFonts w:hint="eastAsia" w:ascii="黑体" w:eastAsia="黑体"/>
                <w:sz w:val="22"/>
                <w:szCs w:val="22"/>
              </w:rPr>
              <w:t>目标任务</w:t>
            </w:r>
          </w:p>
        </w:tc>
        <w:tc>
          <w:tcPr>
            <w:tcW w:w="4403" w:type="dxa"/>
          </w:tcPr>
          <w:p>
            <w:pPr>
              <w:pStyle w:val="33"/>
              <w:spacing w:before="10"/>
              <w:jc w:val="center"/>
              <w:rPr>
                <w:rFonts w:ascii="宋体"/>
                <w:sz w:val="28"/>
                <w:szCs w:val="22"/>
              </w:rPr>
            </w:pPr>
          </w:p>
          <w:p>
            <w:pPr>
              <w:pStyle w:val="33"/>
              <w:ind w:right="1733"/>
              <w:jc w:val="center"/>
              <w:rPr>
                <w:rFonts w:hint="eastAsia" w:ascii="黑体" w:eastAsia="黑体"/>
                <w:sz w:val="22"/>
                <w:szCs w:val="22"/>
              </w:rPr>
            </w:pPr>
            <w:r>
              <w:rPr>
                <w:rFonts w:hint="eastAsia" w:ascii="黑体" w:eastAsia="黑体"/>
                <w:sz w:val="22"/>
                <w:szCs w:val="22"/>
                <w:lang w:val="en-US" w:eastAsia="zh-CN"/>
              </w:rPr>
              <w:t xml:space="preserve">                </w:t>
            </w:r>
            <w:r>
              <w:rPr>
                <w:rFonts w:hint="eastAsia" w:ascii="黑体" w:eastAsia="黑体"/>
                <w:sz w:val="22"/>
                <w:szCs w:val="22"/>
              </w:rPr>
              <w:t>具体任务</w:t>
            </w:r>
          </w:p>
        </w:tc>
        <w:tc>
          <w:tcPr>
            <w:tcW w:w="772" w:type="dxa"/>
          </w:tcPr>
          <w:p>
            <w:pPr>
              <w:pStyle w:val="33"/>
              <w:spacing w:before="7"/>
              <w:jc w:val="center"/>
              <w:rPr>
                <w:rFonts w:ascii="宋体"/>
                <w:sz w:val="16"/>
                <w:szCs w:val="22"/>
              </w:rPr>
            </w:pPr>
          </w:p>
          <w:p>
            <w:pPr>
              <w:pStyle w:val="33"/>
              <w:spacing w:line="244" w:lineRule="auto"/>
              <w:ind w:left="163" w:right="153" w:firstLine="1"/>
              <w:jc w:val="center"/>
              <w:rPr>
                <w:rFonts w:hint="eastAsia" w:ascii="黑体" w:eastAsia="黑体"/>
                <w:sz w:val="22"/>
                <w:szCs w:val="22"/>
              </w:rPr>
            </w:pPr>
            <w:r>
              <w:rPr>
                <w:rFonts w:hint="eastAsia" w:ascii="黑体" w:eastAsia="黑体"/>
                <w:sz w:val="22"/>
                <w:szCs w:val="22"/>
              </w:rPr>
              <w:t>完成时限</w:t>
            </w:r>
          </w:p>
        </w:tc>
        <w:tc>
          <w:tcPr>
            <w:tcW w:w="1143" w:type="dxa"/>
          </w:tcPr>
          <w:p>
            <w:pPr>
              <w:pStyle w:val="33"/>
              <w:spacing w:before="10"/>
              <w:jc w:val="center"/>
              <w:rPr>
                <w:rFonts w:ascii="宋体"/>
                <w:sz w:val="28"/>
                <w:szCs w:val="22"/>
              </w:rPr>
            </w:pPr>
          </w:p>
          <w:p>
            <w:pPr>
              <w:pStyle w:val="33"/>
              <w:ind w:right="121"/>
              <w:jc w:val="center"/>
              <w:rPr>
                <w:rFonts w:hint="eastAsia" w:ascii="黑体" w:eastAsia="黑体"/>
                <w:sz w:val="22"/>
                <w:szCs w:val="22"/>
              </w:rPr>
            </w:pPr>
            <w:r>
              <w:rPr>
                <w:rFonts w:hint="eastAsia" w:ascii="黑体" w:eastAsia="黑体"/>
                <w:sz w:val="22"/>
                <w:szCs w:val="22"/>
              </w:rPr>
              <w:t>牵头部门</w:t>
            </w:r>
          </w:p>
        </w:tc>
        <w:tc>
          <w:tcPr>
            <w:tcW w:w="1225" w:type="dxa"/>
          </w:tcPr>
          <w:p>
            <w:pPr>
              <w:pStyle w:val="33"/>
              <w:spacing w:before="7"/>
              <w:jc w:val="center"/>
              <w:rPr>
                <w:rFonts w:ascii="宋体"/>
                <w:sz w:val="16"/>
                <w:szCs w:val="22"/>
              </w:rPr>
            </w:pPr>
          </w:p>
          <w:p>
            <w:pPr>
              <w:pStyle w:val="33"/>
              <w:spacing w:line="244" w:lineRule="auto"/>
              <w:ind w:left="389" w:right="383"/>
              <w:jc w:val="center"/>
              <w:rPr>
                <w:rFonts w:hint="eastAsia" w:ascii="黑体" w:eastAsia="黑体"/>
                <w:sz w:val="22"/>
                <w:szCs w:val="22"/>
              </w:rPr>
            </w:pPr>
            <w:r>
              <w:rPr>
                <w:rFonts w:hint="eastAsia" w:ascii="黑体" w:eastAsia="黑体"/>
                <w:sz w:val="22"/>
                <w:szCs w:val="22"/>
              </w:rPr>
              <w:t>责任部门</w:t>
            </w:r>
          </w:p>
        </w:tc>
        <w:tc>
          <w:tcPr>
            <w:tcW w:w="731" w:type="dxa"/>
          </w:tcPr>
          <w:p>
            <w:pPr>
              <w:pStyle w:val="33"/>
              <w:spacing w:before="10"/>
              <w:jc w:val="center"/>
              <w:rPr>
                <w:rFonts w:ascii="宋体"/>
                <w:sz w:val="28"/>
                <w:szCs w:val="22"/>
              </w:rPr>
            </w:pPr>
          </w:p>
          <w:p>
            <w:pPr>
              <w:pStyle w:val="33"/>
              <w:ind w:left="139"/>
              <w:jc w:val="center"/>
              <w:rPr>
                <w:rFonts w:hint="eastAsia" w:ascii="黑体" w:eastAsia="黑体"/>
                <w:sz w:val="22"/>
                <w:szCs w:val="22"/>
              </w:rPr>
            </w:pPr>
            <w:r>
              <w:rPr>
                <w:rFonts w:hint="eastAsia" w:ascii="黑体" w:eastAsia="黑体"/>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9460" w:type="dxa"/>
            <w:gridSpan w:val="7"/>
            <w:vAlign w:val="center"/>
          </w:tcPr>
          <w:p>
            <w:pPr>
              <w:pStyle w:val="33"/>
              <w:jc w:val="left"/>
              <w:rPr>
                <w:rFonts w:hint="eastAsia" w:ascii="楷体_GB2312" w:eastAsia="楷体_GB2312"/>
                <w:sz w:val="28"/>
              </w:rPr>
            </w:pPr>
            <w:r>
              <w:rPr>
                <w:rFonts w:hint="eastAsia" w:ascii="楷体_GB2312" w:eastAsia="楷体_GB2312"/>
                <w:sz w:val="28"/>
              </w:rPr>
              <w:t>（一）对照两张清单，推动流程再造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5" w:hRule="atLeast"/>
        </w:trPr>
        <w:tc>
          <w:tcPr>
            <w:tcW w:w="455" w:type="dxa"/>
          </w:tcPr>
          <w:p>
            <w:pPr>
              <w:pStyle w:val="33"/>
              <w:spacing w:before="173" w:line="271" w:lineRule="auto"/>
              <w:ind w:left="144" w:right="132"/>
              <w:jc w:val="both"/>
              <w:rPr>
                <w:sz w:val="22"/>
              </w:rPr>
            </w:pPr>
          </w:p>
          <w:p>
            <w:pPr>
              <w:pStyle w:val="33"/>
              <w:spacing w:before="173" w:line="271" w:lineRule="auto"/>
              <w:ind w:left="144" w:right="132"/>
              <w:jc w:val="both"/>
              <w:rPr>
                <w:sz w:val="22"/>
              </w:rPr>
            </w:pPr>
          </w:p>
          <w:p>
            <w:pPr>
              <w:pStyle w:val="33"/>
              <w:spacing w:before="173" w:line="271" w:lineRule="auto"/>
              <w:ind w:left="144" w:right="132"/>
              <w:jc w:val="both"/>
              <w:rPr>
                <w:sz w:val="22"/>
              </w:rPr>
            </w:pPr>
            <w:r>
              <w:rPr>
                <w:sz w:val="22"/>
              </w:rPr>
              <w:t>1</w:t>
            </w:r>
          </w:p>
        </w:tc>
        <w:tc>
          <w:tcPr>
            <w:tcW w:w="731" w:type="dxa"/>
          </w:tcPr>
          <w:p>
            <w:pPr>
              <w:pStyle w:val="33"/>
              <w:spacing w:before="173" w:line="271" w:lineRule="auto"/>
              <w:ind w:left="144" w:right="132"/>
              <w:jc w:val="both"/>
              <w:rPr>
                <w:sz w:val="22"/>
              </w:rPr>
            </w:pPr>
          </w:p>
          <w:p>
            <w:pPr>
              <w:pStyle w:val="33"/>
              <w:spacing w:before="173" w:line="271" w:lineRule="auto"/>
              <w:ind w:left="144" w:right="132"/>
              <w:jc w:val="both"/>
              <w:rPr>
                <w:sz w:val="22"/>
              </w:rPr>
            </w:pPr>
            <w:r>
              <w:rPr>
                <w:sz w:val="22"/>
              </w:rPr>
              <w:t>推进极简办</w:t>
            </w:r>
          </w:p>
        </w:tc>
        <w:tc>
          <w:tcPr>
            <w:tcW w:w="4403" w:type="dxa"/>
          </w:tcPr>
          <w:p>
            <w:pPr>
              <w:pStyle w:val="33"/>
              <w:spacing w:before="18" w:line="276" w:lineRule="exact"/>
              <w:ind w:left="107"/>
              <w:jc w:val="both"/>
              <w:rPr>
                <w:sz w:val="22"/>
              </w:rPr>
            </w:pPr>
            <w:r>
              <w:rPr>
                <w:sz w:val="22"/>
              </w:rPr>
              <w:t>对接</w:t>
            </w:r>
            <w:r>
              <w:rPr>
                <w:rFonts w:hint="eastAsia"/>
                <w:sz w:val="22"/>
                <w:lang w:val="en-US" w:eastAsia="zh-CN"/>
              </w:rPr>
              <w:t>市级</w:t>
            </w:r>
            <w:r>
              <w:rPr>
                <w:sz w:val="22"/>
              </w:rPr>
              <w:t>业务主管部门，围绕“双全双百”</w:t>
            </w:r>
          </w:p>
          <w:p>
            <w:pPr>
              <w:pStyle w:val="33"/>
              <w:spacing w:before="14" w:line="273" w:lineRule="auto"/>
              <w:ind w:left="107" w:right="102"/>
              <w:jc w:val="both"/>
              <w:rPr>
                <w:sz w:val="22"/>
              </w:rPr>
            </w:pPr>
            <w:r>
              <w:rPr>
                <w:sz w:val="22"/>
              </w:rPr>
              <w:t>清单事项，对标全</w:t>
            </w:r>
            <w:r>
              <w:rPr>
                <w:rFonts w:hint="eastAsia"/>
                <w:sz w:val="22"/>
                <w:lang w:val="en-US" w:eastAsia="zh-CN"/>
              </w:rPr>
              <w:t>省</w:t>
            </w:r>
            <w:r>
              <w:rPr>
                <w:sz w:val="22"/>
              </w:rPr>
              <w:t>最佳案例，逐项提出本系统本领域“减材料、减环节、减时限、减费用、减跑动”等流程再造措施，确保清单事项办理的环节、材料、时间、费用、跑动</w:t>
            </w:r>
          </w:p>
          <w:p>
            <w:pPr>
              <w:pStyle w:val="33"/>
              <w:spacing w:line="275" w:lineRule="exact"/>
              <w:ind w:left="107"/>
              <w:jc w:val="both"/>
              <w:rPr>
                <w:sz w:val="22"/>
              </w:rPr>
            </w:pPr>
            <w:r>
              <w:rPr>
                <w:sz w:val="22"/>
              </w:rPr>
              <w:t>次数等均达到</w:t>
            </w:r>
            <w:r>
              <w:rPr>
                <w:rFonts w:hint="eastAsia"/>
                <w:sz w:val="22"/>
                <w:lang w:val="en-US" w:eastAsia="zh-CN"/>
              </w:rPr>
              <w:t>全市</w:t>
            </w:r>
            <w:r>
              <w:rPr>
                <w:sz w:val="22"/>
              </w:rPr>
              <w:t>领先、</w:t>
            </w:r>
            <w:r>
              <w:rPr>
                <w:rFonts w:hint="eastAsia"/>
                <w:sz w:val="22"/>
                <w:lang w:val="en-US" w:eastAsia="zh-CN"/>
              </w:rPr>
              <w:t>全省</w:t>
            </w:r>
            <w:r>
              <w:rPr>
                <w:sz w:val="22"/>
              </w:rPr>
              <w:t>一流水平。</w:t>
            </w:r>
          </w:p>
        </w:tc>
        <w:tc>
          <w:tcPr>
            <w:tcW w:w="772" w:type="dxa"/>
            <w:vAlign w:val="center"/>
          </w:tcPr>
          <w:p>
            <w:pPr>
              <w:pStyle w:val="33"/>
              <w:spacing w:before="173" w:line="271" w:lineRule="auto"/>
              <w:ind w:left="164" w:right="126" w:firstLine="27"/>
              <w:jc w:val="center"/>
              <w:rPr>
                <w:sz w:val="22"/>
              </w:rPr>
            </w:pPr>
            <w:r>
              <w:rPr>
                <w:rFonts w:hint="eastAsia"/>
                <w:sz w:val="22"/>
                <w:lang w:val="en-US" w:eastAsia="zh-CN"/>
              </w:rPr>
              <w:t>7</w:t>
            </w:r>
            <w:r>
              <w:rPr>
                <w:sz w:val="22"/>
              </w:rPr>
              <w:t>月</w:t>
            </w:r>
            <w:r>
              <w:rPr>
                <w:rFonts w:hint="eastAsia"/>
                <w:sz w:val="22"/>
                <w:lang w:val="en-US" w:eastAsia="zh-CN"/>
              </w:rPr>
              <w:t>底</w:t>
            </w:r>
            <w:r>
              <w:rPr>
                <w:sz w:val="22"/>
              </w:rPr>
              <w:t>前</w:t>
            </w:r>
          </w:p>
        </w:tc>
        <w:tc>
          <w:tcPr>
            <w:tcW w:w="1143" w:type="dxa"/>
            <w:vAlign w:val="center"/>
          </w:tcPr>
          <w:p>
            <w:pPr>
              <w:pStyle w:val="33"/>
              <w:spacing w:before="18" w:line="276" w:lineRule="exact"/>
              <w:ind w:right="121"/>
              <w:jc w:val="center"/>
              <w:rPr>
                <w:rFonts w:hint="eastAsia"/>
                <w:sz w:val="22"/>
                <w:lang w:val="en-US" w:eastAsia="zh-CN"/>
              </w:rPr>
            </w:pPr>
            <w:r>
              <w:rPr>
                <w:rFonts w:hint="eastAsia"/>
                <w:sz w:val="22"/>
                <w:lang w:val="en-US" w:eastAsia="zh-CN"/>
              </w:rPr>
              <w:t>县</w:t>
            </w:r>
            <w:r>
              <w:rPr>
                <w:sz w:val="22"/>
              </w:rPr>
              <w:t>直有关</w:t>
            </w:r>
          </w:p>
          <w:p>
            <w:pPr>
              <w:ind w:firstLine="210" w:firstLineChars="100"/>
              <w:jc w:val="center"/>
            </w:pPr>
            <w:r>
              <w:t>部门单位</w:t>
            </w:r>
          </w:p>
          <w:p>
            <w:pPr>
              <w:pStyle w:val="33"/>
              <w:spacing w:before="37" w:line="273" w:lineRule="auto"/>
              <w:ind w:left="106" w:right="97" w:firstLine="22"/>
              <w:jc w:val="center"/>
              <w:rPr>
                <w:sz w:val="22"/>
              </w:rPr>
            </w:pPr>
            <w:r>
              <w:rPr>
                <w:sz w:val="22"/>
              </w:rPr>
              <w:t>（具体名单见附件1</w:t>
            </w:r>
            <w:r>
              <w:rPr>
                <w:spacing w:val="-8"/>
                <w:sz w:val="22"/>
              </w:rPr>
              <w:t>、</w:t>
            </w:r>
            <w:r>
              <w:rPr>
                <w:sz w:val="22"/>
              </w:rPr>
              <w:t>2</w:t>
            </w:r>
            <w:r>
              <w:rPr>
                <w:spacing w:val="-25"/>
                <w:sz w:val="22"/>
              </w:rPr>
              <w:t xml:space="preserve"> 牵头</w:t>
            </w:r>
          </w:p>
          <w:p>
            <w:pPr>
              <w:pStyle w:val="33"/>
              <w:spacing w:line="277" w:lineRule="exact"/>
              <w:ind w:left="238"/>
              <w:jc w:val="center"/>
              <w:rPr>
                <w:sz w:val="22"/>
              </w:rPr>
            </w:pPr>
            <w:r>
              <w:rPr>
                <w:sz w:val="22"/>
              </w:rPr>
              <w:t>部门）</w:t>
            </w:r>
          </w:p>
        </w:tc>
        <w:tc>
          <w:tcPr>
            <w:tcW w:w="1225" w:type="dxa"/>
            <w:vAlign w:val="center"/>
          </w:tcPr>
          <w:p>
            <w:pPr>
              <w:pStyle w:val="33"/>
              <w:spacing w:before="14" w:line="273" w:lineRule="auto"/>
              <w:ind w:right="97"/>
              <w:jc w:val="center"/>
              <w:rPr>
                <w:sz w:val="22"/>
              </w:rPr>
            </w:pPr>
            <w:r>
              <w:rPr>
                <w:rFonts w:hint="eastAsia"/>
                <w:sz w:val="22"/>
                <w:lang w:val="en-US" w:eastAsia="zh-CN"/>
              </w:rPr>
              <w:t>县</w:t>
            </w:r>
            <w:r>
              <w:rPr>
                <w:sz w:val="22"/>
              </w:rPr>
              <w:t>直部门单</w:t>
            </w:r>
            <w:r>
              <w:rPr>
                <w:spacing w:val="-90"/>
                <w:sz w:val="22"/>
              </w:rPr>
              <w:t>位</w:t>
            </w:r>
            <w:r>
              <w:rPr>
                <w:sz w:val="22"/>
              </w:rPr>
              <w:t>（</w:t>
            </w:r>
            <w:r>
              <w:rPr>
                <w:spacing w:val="-6"/>
                <w:sz w:val="22"/>
              </w:rPr>
              <w:t>具体名</w:t>
            </w:r>
            <w:r>
              <w:rPr>
                <w:sz w:val="22"/>
              </w:rPr>
              <w:t>单见附件 1、2</w:t>
            </w:r>
            <w:r>
              <w:rPr>
                <w:spacing w:val="-19"/>
                <w:sz w:val="22"/>
              </w:rPr>
              <w:t xml:space="preserve"> 协同</w:t>
            </w:r>
          </w:p>
          <w:p>
            <w:pPr>
              <w:pStyle w:val="33"/>
              <w:spacing w:line="275" w:lineRule="exact"/>
              <w:ind w:left="280"/>
              <w:jc w:val="center"/>
              <w:rPr>
                <w:sz w:val="22"/>
              </w:rPr>
            </w:pPr>
            <w:r>
              <w:rPr>
                <w:sz w:val="22"/>
              </w:rPr>
              <w:t>部门）</w:t>
            </w:r>
          </w:p>
        </w:tc>
        <w:tc>
          <w:tcPr>
            <w:tcW w:w="731" w:type="dxa"/>
            <w:vMerge w:val="restart"/>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455" w:type="dxa"/>
          </w:tcPr>
          <w:p>
            <w:pPr>
              <w:pStyle w:val="33"/>
              <w:spacing w:before="173" w:line="271" w:lineRule="auto"/>
              <w:ind w:left="144" w:right="132"/>
              <w:jc w:val="both"/>
              <w:rPr>
                <w:sz w:val="22"/>
              </w:rPr>
            </w:pPr>
          </w:p>
          <w:p>
            <w:pPr>
              <w:pStyle w:val="33"/>
              <w:spacing w:before="173" w:line="271" w:lineRule="auto"/>
              <w:ind w:left="144" w:right="132"/>
              <w:jc w:val="both"/>
              <w:rPr>
                <w:sz w:val="22"/>
              </w:rPr>
            </w:pPr>
            <w:r>
              <w:rPr>
                <w:sz w:val="22"/>
              </w:rPr>
              <w:t>2</w:t>
            </w:r>
          </w:p>
        </w:tc>
        <w:tc>
          <w:tcPr>
            <w:tcW w:w="731" w:type="dxa"/>
            <w:vMerge w:val="restart"/>
          </w:tcPr>
          <w:p>
            <w:pPr>
              <w:pStyle w:val="33"/>
              <w:spacing w:before="173" w:line="273" w:lineRule="auto"/>
              <w:ind w:left="144" w:right="132"/>
              <w:jc w:val="both"/>
              <w:rPr>
                <w:sz w:val="22"/>
              </w:rPr>
            </w:pPr>
          </w:p>
          <w:p>
            <w:pPr>
              <w:pStyle w:val="33"/>
              <w:spacing w:before="173" w:line="273" w:lineRule="auto"/>
              <w:ind w:left="144" w:right="132"/>
              <w:jc w:val="both"/>
              <w:rPr>
                <w:sz w:val="22"/>
              </w:rPr>
            </w:pPr>
            <w:r>
              <w:rPr>
                <w:sz w:val="22"/>
              </w:rPr>
              <w:t>深化集成办</w:t>
            </w:r>
          </w:p>
        </w:tc>
        <w:tc>
          <w:tcPr>
            <w:tcW w:w="4403" w:type="dxa"/>
          </w:tcPr>
          <w:p>
            <w:pPr>
              <w:pStyle w:val="33"/>
              <w:spacing w:before="48" w:line="276" w:lineRule="exact"/>
              <w:ind w:left="107"/>
              <w:jc w:val="both"/>
              <w:rPr>
                <w:sz w:val="22"/>
              </w:rPr>
            </w:pPr>
            <w:r>
              <w:rPr>
                <w:sz w:val="22"/>
              </w:rPr>
              <w:t>根据生命周期场景划分和企业群众办事需</w:t>
            </w:r>
          </w:p>
          <w:p>
            <w:pPr>
              <w:pStyle w:val="33"/>
              <w:spacing w:before="14" w:line="276" w:lineRule="exact"/>
              <w:ind w:left="107"/>
              <w:jc w:val="both"/>
              <w:rPr>
                <w:sz w:val="22"/>
              </w:rPr>
            </w:pPr>
            <w:r>
              <w:rPr>
                <w:sz w:val="22"/>
              </w:rPr>
              <w:t>求，围绕开展“事项联办”和“一链办理”</w:t>
            </w:r>
          </w:p>
          <w:p>
            <w:pPr>
              <w:pStyle w:val="33"/>
              <w:spacing w:before="14"/>
              <w:ind w:left="107"/>
              <w:jc w:val="both"/>
              <w:rPr>
                <w:sz w:val="22"/>
              </w:rPr>
            </w:pPr>
            <w:r>
              <w:rPr>
                <w:sz w:val="22"/>
              </w:rPr>
              <w:t>主题式服务，梳理办事场景事项链条。</w:t>
            </w:r>
          </w:p>
        </w:tc>
        <w:tc>
          <w:tcPr>
            <w:tcW w:w="772" w:type="dxa"/>
            <w:vAlign w:val="center"/>
          </w:tcPr>
          <w:p>
            <w:pPr>
              <w:pStyle w:val="33"/>
              <w:spacing w:before="48" w:line="276" w:lineRule="exact"/>
              <w:ind w:left="145" w:right="82"/>
              <w:jc w:val="center"/>
              <w:rPr>
                <w:spacing w:val="55"/>
                <w:sz w:val="22"/>
              </w:rPr>
            </w:pPr>
            <w:r>
              <w:rPr>
                <w:rFonts w:hint="eastAsia"/>
                <w:spacing w:val="55"/>
                <w:sz w:val="22"/>
                <w:lang w:val="en-US" w:eastAsia="zh-CN"/>
              </w:rPr>
              <w:t>7</w:t>
            </w:r>
            <w:r>
              <w:rPr>
                <w:sz w:val="22"/>
              </w:rPr>
              <w:t>月</w:t>
            </w:r>
          </w:p>
          <w:p>
            <w:pPr>
              <w:pStyle w:val="33"/>
              <w:spacing w:before="14" w:line="276" w:lineRule="exact"/>
              <w:ind w:left="145" w:right="136"/>
              <w:jc w:val="center"/>
              <w:rPr>
                <w:sz w:val="22"/>
              </w:rPr>
            </w:pPr>
            <w:r>
              <w:rPr>
                <w:rFonts w:hint="eastAsia"/>
                <w:sz w:val="22"/>
                <w:lang w:val="en-US" w:eastAsia="zh-CN"/>
              </w:rPr>
              <w:t>底</w:t>
            </w:r>
            <w:r>
              <w:t>前</w:t>
            </w:r>
          </w:p>
        </w:tc>
        <w:tc>
          <w:tcPr>
            <w:tcW w:w="1143" w:type="dxa"/>
            <w:vMerge w:val="restart"/>
            <w:vAlign w:val="center"/>
          </w:tcPr>
          <w:p>
            <w:pPr>
              <w:pStyle w:val="33"/>
              <w:spacing w:before="14" w:line="276" w:lineRule="exact"/>
              <w:ind w:right="121"/>
              <w:jc w:val="center"/>
              <w:rPr>
                <w:rFonts w:hint="eastAsia"/>
                <w:sz w:val="22"/>
                <w:lang w:val="en-US" w:eastAsia="zh-CN"/>
              </w:rPr>
            </w:pPr>
          </w:p>
          <w:p>
            <w:pPr>
              <w:pStyle w:val="33"/>
              <w:spacing w:before="14" w:line="276" w:lineRule="exact"/>
              <w:ind w:right="121"/>
              <w:jc w:val="center"/>
              <w:rPr>
                <w:sz w:val="22"/>
              </w:rPr>
            </w:pPr>
            <w:r>
              <w:rPr>
                <w:rFonts w:hint="eastAsia"/>
                <w:sz w:val="22"/>
                <w:lang w:val="en-US" w:eastAsia="zh-CN"/>
              </w:rPr>
              <w:t>县</w:t>
            </w:r>
            <w:r>
              <w:rPr>
                <w:sz w:val="22"/>
              </w:rPr>
              <w:t>直有关</w:t>
            </w:r>
          </w:p>
          <w:p>
            <w:pPr>
              <w:pStyle w:val="33"/>
              <w:spacing w:before="14"/>
              <w:ind w:left="129"/>
              <w:jc w:val="center"/>
              <w:rPr>
                <w:sz w:val="22"/>
              </w:rPr>
            </w:pPr>
            <w:r>
              <w:rPr>
                <w:sz w:val="22"/>
              </w:rPr>
              <w:t>部门单位</w:t>
            </w:r>
          </w:p>
          <w:p>
            <w:pPr>
              <w:pStyle w:val="33"/>
              <w:spacing w:before="38" w:line="273" w:lineRule="auto"/>
              <w:ind w:left="106" w:right="97" w:firstLine="22"/>
              <w:jc w:val="center"/>
              <w:rPr>
                <w:sz w:val="22"/>
              </w:rPr>
            </w:pPr>
            <w:r>
              <w:rPr>
                <w:sz w:val="22"/>
              </w:rPr>
              <w:t>（具体名单见附件1</w:t>
            </w:r>
            <w:r>
              <w:rPr>
                <w:spacing w:val="-8"/>
                <w:sz w:val="22"/>
              </w:rPr>
              <w:t>、</w:t>
            </w:r>
            <w:r>
              <w:rPr>
                <w:sz w:val="22"/>
              </w:rPr>
              <w:t>2</w:t>
            </w:r>
            <w:r>
              <w:rPr>
                <w:spacing w:val="-25"/>
                <w:sz w:val="22"/>
              </w:rPr>
              <w:t xml:space="preserve"> 牵头</w:t>
            </w:r>
            <w:r>
              <w:rPr>
                <w:sz w:val="22"/>
              </w:rPr>
              <w:t>部门）</w:t>
            </w:r>
          </w:p>
        </w:tc>
        <w:tc>
          <w:tcPr>
            <w:tcW w:w="1225" w:type="dxa"/>
            <w:vMerge w:val="restart"/>
            <w:vAlign w:val="center"/>
          </w:tcPr>
          <w:p>
            <w:pPr>
              <w:pStyle w:val="33"/>
              <w:spacing w:before="14" w:line="273" w:lineRule="auto"/>
              <w:ind w:left="106" w:right="97"/>
              <w:jc w:val="center"/>
              <w:rPr>
                <w:rFonts w:hint="eastAsia"/>
                <w:sz w:val="22"/>
                <w:lang w:val="en-US" w:eastAsia="zh-CN"/>
              </w:rPr>
            </w:pPr>
          </w:p>
          <w:p>
            <w:pPr>
              <w:pStyle w:val="33"/>
              <w:spacing w:before="14" w:line="273" w:lineRule="auto"/>
              <w:ind w:left="106" w:right="97"/>
              <w:jc w:val="center"/>
              <w:rPr>
                <w:sz w:val="22"/>
              </w:rPr>
            </w:pPr>
            <w:r>
              <w:rPr>
                <w:rFonts w:hint="eastAsia"/>
                <w:sz w:val="22"/>
                <w:lang w:val="en-US" w:eastAsia="zh-CN"/>
              </w:rPr>
              <w:t>县</w:t>
            </w:r>
            <w:r>
              <w:rPr>
                <w:sz w:val="22"/>
              </w:rPr>
              <w:t>直部门单</w:t>
            </w:r>
            <w:r>
              <w:rPr>
                <w:spacing w:val="-90"/>
                <w:sz w:val="22"/>
              </w:rPr>
              <w:t>位</w:t>
            </w:r>
            <w:r>
              <w:rPr>
                <w:sz w:val="22"/>
              </w:rPr>
              <w:t>（</w:t>
            </w:r>
            <w:r>
              <w:rPr>
                <w:spacing w:val="-6"/>
                <w:sz w:val="22"/>
              </w:rPr>
              <w:t>具体名</w:t>
            </w:r>
            <w:r>
              <w:rPr>
                <w:sz w:val="22"/>
              </w:rPr>
              <w:t>单见附件1、2</w:t>
            </w:r>
            <w:r>
              <w:rPr>
                <w:spacing w:val="-19"/>
                <w:sz w:val="22"/>
              </w:rPr>
              <w:t xml:space="preserve"> 协同部门）</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4" w:hRule="atLeast"/>
        </w:trPr>
        <w:tc>
          <w:tcPr>
            <w:tcW w:w="455" w:type="dxa"/>
          </w:tcPr>
          <w:p>
            <w:pPr>
              <w:pStyle w:val="33"/>
              <w:spacing w:before="173" w:line="271" w:lineRule="auto"/>
              <w:ind w:right="132"/>
              <w:jc w:val="both"/>
              <w:rPr>
                <w:sz w:val="22"/>
              </w:rPr>
            </w:pPr>
          </w:p>
          <w:p>
            <w:pPr>
              <w:pStyle w:val="33"/>
              <w:spacing w:before="173" w:line="271" w:lineRule="auto"/>
              <w:ind w:left="144" w:right="132"/>
              <w:jc w:val="both"/>
              <w:rPr>
                <w:sz w:val="22"/>
              </w:rPr>
            </w:pPr>
            <w:r>
              <w:rPr>
                <w:sz w:val="22"/>
              </w:rPr>
              <w:t>3</w:t>
            </w:r>
          </w:p>
        </w:tc>
        <w:tc>
          <w:tcPr>
            <w:tcW w:w="731" w:type="dxa"/>
            <w:vMerge w:val="continue"/>
          </w:tcPr>
          <w:p>
            <w:pPr>
              <w:jc w:val="both"/>
              <w:rPr>
                <w:sz w:val="2"/>
                <w:szCs w:val="2"/>
              </w:rPr>
            </w:pPr>
          </w:p>
        </w:tc>
        <w:tc>
          <w:tcPr>
            <w:tcW w:w="4403" w:type="dxa"/>
          </w:tcPr>
          <w:p>
            <w:pPr>
              <w:pStyle w:val="33"/>
              <w:spacing w:before="18" w:line="273" w:lineRule="auto"/>
              <w:ind w:left="107" w:right="102"/>
              <w:jc w:val="both"/>
              <w:rPr>
                <w:sz w:val="22"/>
              </w:rPr>
            </w:pPr>
            <w:r>
              <w:rPr>
                <w:sz w:val="22"/>
              </w:rPr>
              <w:t>按照“一次告知、一个窗口、一张表单、一组流程、一套材料”的要求，重塑部门协同配合服务流程，出台“一件事”主题服务流程再造方案，推进“双全双百”事项集成化</w:t>
            </w:r>
          </w:p>
          <w:p>
            <w:pPr>
              <w:pStyle w:val="33"/>
              <w:spacing w:line="275" w:lineRule="exact"/>
              <w:ind w:left="107"/>
              <w:jc w:val="both"/>
              <w:rPr>
                <w:sz w:val="22"/>
              </w:rPr>
            </w:pPr>
            <w:r>
              <w:rPr>
                <w:sz w:val="22"/>
              </w:rPr>
              <w:t>办理。</w:t>
            </w:r>
          </w:p>
        </w:tc>
        <w:tc>
          <w:tcPr>
            <w:tcW w:w="772" w:type="dxa"/>
            <w:vAlign w:val="center"/>
          </w:tcPr>
          <w:p>
            <w:pPr>
              <w:pStyle w:val="33"/>
              <w:spacing w:before="11"/>
              <w:jc w:val="center"/>
              <w:rPr>
                <w:rFonts w:ascii="宋体"/>
                <w:sz w:val="16"/>
              </w:rPr>
            </w:pPr>
          </w:p>
          <w:p>
            <w:pPr>
              <w:pStyle w:val="33"/>
              <w:spacing w:line="271" w:lineRule="auto"/>
              <w:ind w:left="163" w:right="126" w:firstLine="28"/>
              <w:jc w:val="center"/>
              <w:rPr>
                <w:sz w:val="22"/>
              </w:rPr>
            </w:pPr>
            <w:r>
              <w:rPr>
                <w:rFonts w:hint="eastAsia"/>
                <w:spacing w:val="55"/>
                <w:sz w:val="22"/>
                <w:lang w:val="en-US" w:eastAsia="zh-CN"/>
              </w:rPr>
              <w:t>7</w:t>
            </w:r>
            <w:r>
              <w:rPr>
                <w:sz w:val="22"/>
              </w:rPr>
              <w:t>月底前</w:t>
            </w:r>
          </w:p>
        </w:tc>
        <w:tc>
          <w:tcPr>
            <w:tcW w:w="1143" w:type="dxa"/>
            <w:vMerge w:val="continue"/>
          </w:tcPr>
          <w:p>
            <w:pPr>
              <w:jc w:val="both"/>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455" w:type="dxa"/>
          </w:tcPr>
          <w:p>
            <w:pPr>
              <w:pStyle w:val="33"/>
              <w:spacing w:before="173" w:line="271" w:lineRule="auto"/>
              <w:ind w:right="132"/>
              <w:jc w:val="both"/>
              <w:rPr>
                <w:sz w:val="22"/>
              </w:rPr>
            </w:pPr>
          </w:p>
          <w:p>
            <w:pPr>
              <w:pStyle w:val="33"/>
              <w:spacing w:before="173" w:line="271" w:lineRule="auto"/>
              <w:ind w:left="144" w:right="132"/>
              <w:jc w:val="both"/>
              <w:rPr>
                <w:sz w:val="22"/>
              </w:rPr>
            </w:pPr>
            <w:r>
              <w:rPr>
                <w:sz w:val="22"/>
              </w:rPr>
              <w:t>4</w:t>
            </w:r>
          </w:p>
        </w:tc>
        <w:tc>
          <w:tcPr>
            <w:tcW w:w="731" w:type="dxa"/>
            <w:vMerge w:val="restart"/>
          </w:tcPr>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spacing w:before="10"/>
              <w:jc w:val="both"/>
              <w:rPr>
                <w:rFonts w:ascii="宋体"/>
                <w:sz w:val="22"/>
              </w:rPr>
            </w:pPr>
          </w:p>
          <w:p>
            <w:pPr>
              <w:pStyle w:val="33"/>
              <w:spacing w:line="273" w:lineRule="auto"/>
              <w:ind w:left="144" w:right="132"/>
              <w:jc w:val="both"/>
              <w:rPr>
                <w:sz w:val="22"/>
              </w:rPr>
            </w:pPr>
            <w:r>
              <w:rPr>
                <w:sz w:val="22"/>
              </w:rPr>
              <w:t>实现全域办</w:t>
            </w:r>
          </w:p>
        </w:tc>
        <w:tc>
          <w:tcPr>
            <w:tcW w:w="4403" w:type="dxa"/>
          </w:tcPr>
          <w:p>
            <w:pPr>
              <w:pStyle w:val="33"/>
              <w:spacing w:before="178" w:line="273" w:lineRule="auto"/>
              <w:ind w:left="107" w:right="102"/>
              <w:jc w:val="both"/>
              <w:rPr>
                <w:sz w:val="22"/>
              </w:rPr>
            </w:pPr>
            <w:r>
              <w:rPr>
                <w:sz w:val="22"/>
              </w:rPr>
              <w:t>围绕保障改善民生、促进就业创业和便利企业群众跨区域生产生活，强化业务协同、数据共享，打破区域限制和部门壁垒，分类推进跨省通办、全省通办、全市通办改革，实现“双全双百”事项就近可办、跨域通办。</w:t>
            </w:r>
          </w:p>
        </w:tc>
        <w:tc>
          <w:tcPr>
            <w:tcW w:w="772" w:type="dxa"/>
            <w:vAlign w:val="center"/>
          </w:tcPr>
          <w:p>
            <w:pPr>
              <w:pStyle w:val="33"/>
              <w:spacing w:before="18" w:line="273" w:lineRule="auto"/>
              <w:ind w:left="164" w:right="126" w:firstLine="27"/>
              <w:jc w:val="center"/>
              <w:rPr>
                <w:sz w:val="22"/>
              </w:rPr>
            </w:pPr>
            <w:r>
              <w:rPr>
                <w:rFonts w:hint="eastAsia"/>
                <w:spacing w:val="55"/>
                <w:sz w:val="22"/>
                <w:lang w:val="en-US" w:eastAsia="zh-CN"/>
              </w:rPr>
              <w:t>7</w:t>
            </w:r>
            <w:r>
              <w:rPr>
                <w:sz w:val="22"/>
              </w:rPr>
              <w:t>月底前完成并长期坚</w:t>
            </w:r>
          </w:p>
          <w:p>
            <w:pPr>
              <w:pStyle w:val="33"/>
              <w:spacing w:line="276" w:lineRule="exact"/>
              <w:ind w:left="5"/>
              <w:jc w:val="center"/>
              <w:rPr>
                <w:sz w:val="22"/>
              </w:rPr>
            </w:pPr>
            <w:r>
              <w:t>持</w:t>
            </w:r>
          </w:p>
        </w:tc>
        <w:tc>
          <w:tcPr>
            <w:tcW w:w="1143" w:type="dxa"/>
            <w:vMerge w:val="restart"/>
          </w:tcPr>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jc w:val="both"/>
              <w:rPr>
                <w:rFonts w:ascii="宋体"/>
                <w:sz w:val="22"/>
              </w:rPr>
            </w:pPr>
          </w:p>
          <w:p>
            <w:pPr>
              <w:pStyle w:val="33"/>
              <w:spacing w:before="171" w:line="273" w:lineRule="auto"/>
              <w:ind w:left="129" w:right="121"/>
              <w:jc w:val="both"/>
              <w:rPr>
                <w:sz w:val="22"/>
              </w:rPr>
            </w:pPr>
            <w:r>
              <w:rPr>
                <w:rFonts w:hint="eastAsia"/>
                <w:sz w:val="22"/>
                <w:lang w:val="en-US" w:eastAsia="zh-CN"/>
              </w:rPr>
              <w:t>县</w:t>
            </w:r>
            <w:r>
              <w:rPr>
                <w:sz w:val="22"/>
              </w:rPr>
              <w:t>行政审批服务局</w:t>
            </w:r>
          </w:p>
        </w:tc>
        <w:tc>
          <w:tcPr>
            <w:tcW w:w="1225" w:type="dxa"/>
            <w:vMerge w:val="restart"/>
          </w:tcPr>
          <w:p>
            <w:pPr>
              <w:pStyle w:val="33"/>
              <w:jc w:val="both"/>
              <w:rPr>
                <w:rFonts w:ascii="宋体"/>
                <w:sz w:val="22"/>
              </w:rPr>
            </w:pPr>
          </w:p>
          <w:p>
            <w:pPr>
              <w:pStyle w:val="33"/>
              <w:jc w:val="both"/>
              <w:rPr>
                <w:rFonts w:ascii="宋体"/>
                <w:sz w:val="22"/>
              </w:rPr>
            </w:pPr>
          </w:p>
          <w:p>
            <w:pPr>
              <w:pStyle w:val="33"/>
              <w:spacing w:before="11"/>
              <w:jc w:val="both"/>
              <w:rPr>
                <w:rFonts w:ascii="宋体"/>
                <w:sz w:val="19"/>
              </w:rPr>
            </w:pPr>
          </w:p>
          <w:p>
            <w:pPr>
              <w:pStyle w:val="33"/>
              <w:spacing w:before="1" w:line="273" w:lineRule="auto"/>
              <w:ind w:left="106" w:right="97" w:hanging="1"/>
              <w:jc w:val="both"/>
              <w:rPr>
                <w:sz w:val="22"/>
              </w:rPr>
            </w:pPr>
            <w:r>
              <w:rPr>
                <w:rFonts w:hint="eastAsia"/>
                <w:sz w:val="22"/>
                <w:lang w:val="en-US" w:eastAsia="zh-CN"/>
              </w:rPr>
              <w:t>县</w:t>
            </w:r>
            <w:r>
              <w:rPr>
                <w:sz w:val="22"/>
              </w:rPr>
              <w:t>直部门单</w:t>
            </w:r>
            <w:r>
              <w:rPr>
                <w:spacing w:val="-90"/>
                <w:sz w:val="22"/>
              </w:rPr>
              <w:t>位</w:t>
            </w:r>
            <w:r>
              <w:rPr>
                <w:sz w:val="22"/>
              </w:rPr>
              <w:t>（</w:t>
            </w:r>
            <w:r>
              <w:rPr>
                <w:spacing w:val="-6"/>
                <w:sz w:val="22"/>
              </w:rPr>
              <w:t>具体名</w:t>
            </w:r>
            <w:r>
              <w:rPr>
                <w:sz w:val="22"/>
              </w:rPr>
              <w:t>单见附件 1、2）</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455" w:type="dxa"/>
          </w:tcPr>
          <w:p>
            <w:pPr>
              <w:pStyle w:val="33"/>
              <w:spacing w:before="173" w:line="271" w:lineRule="auto"/>
              <w:ind w:right="132"/>
              <w:jc w:val="both"/>
              <w:rPr>
                <w:sz w:val="22"/>
              </w:rPr>
            </w:pPr>
          </w:p>
          <w:p>
            <w:pPr>
              <w:pStyle w:val="33"/>
              <w:spacing w:before="173" w:line="271" w:lineRule="auto"/>
              <w:ind w:left="144" w:right="132"/>
              <w:jc w:val="both"/>
              <w:rPr>
                <w:sz w:val="22"/>
              </w:rPr>
            </w:pPr>
            <w:r>
              <w:rPr>
                <w:sz w:val="22"/>
              </w:rPr>
              <w:t>5</w:t>
            </w:r>
          </w:p>
        </w:tc>
        <w:tc>
          <w:tcPr>
            <w:tcW w:w="731" w:type="dxa"/>
            <w:vMerge w:val="continue"/>
          </w:tcPr>
          <w:p>
            <w:pPr>
              <w:jc w:val="both"/>
              <w:rPr>
                <w:sz w:val="2"/>
                <w:szCs w:val="2"/>
              </w:rPr>
            </w:pPr>
          </w:p>
        </w:tc>
        <w:tc>
          <w:tcPr>
            <w:tcW w:w="4403" w:type="dxa"/>
          </w:tcPr>
          <w:p>
            <w:pPr>
              <w:pStyle w:val="33"/>
              <w:spacing w:before="18" w:line="271" w:lineRule="auto"/>
              <w:ind w:left="107" w:right="102"/>
              <w:jc w:val="both"/>
              <w:rPr>
                <w:sz w:val="22"/>
              </w:rPr>
            </w:pPr>
            <w:r>
              <w:rPr>
                <w:sz w:val="22"/>
              </w:rPr>
              <w:t xml:space="preserve">推广应用临沂市跨域通办证照制作辅助系 </w:t>
            </w:r>
            <w:r>
              <w:rPr>
                <w:spacing w:val="-1"/>
                <w:sz w:val="22"/>
              </w:rPr>
              <w:t>统，加强与长三角地区、淮海经济区、鲁南</w:t>
            </w:r>
          </w:p>
          <w:p>
            <w:pPr>
              <w:jc w:val="both"/>
            </w:pPr>
            <w:r>
              <w:t>经济圈等城市合作，构建跨域通办常态化机</w:t>
            </w:r>
          </w:p>
          <w:p>
            <w:pPr>
              <w:jc w:val="both"/>
              <w:rPr>
                <w:sz w:val="22"/>
              </w:rPr>
            </w:pPr>
            <w:r>
              <w:t>制。</w:t>
            </w:r>
          </w:p>
        </w:tc>
        <w:tc>
          <w:tcPr>
            <w:tcW w:w="772" w:type="dxa"/>
            <w:vAlign w:val="center"/>
          </w:tcPr>
          <w:p>
            <w:pPr>
              <w:pStyle w:val="33"/>
              <w:spacing w:before="12"/>
              <w:jc w:val="both"/>
              <w:rPr>
                <w:rFonts w:ascii="宋体"/>
                <w:sz w:val="22"/>
              </w:rPr>
            </w:pPr>
          </w:p>
          <w:p>
            <w:pPr>
              <w:pStyle w:val="33"/>
              <w:spacing w:line="320" w:lineRule="atLeast"/>
              <w:ind w:left="163" w:right="126" w:firstLine="28"/>
              <w:jc w:val="center"/>
              <w:rPr>
                <w:sz w:val="22"/>
              </w:rPr>
            </w:pPr>
            <w:r>
              <w:rPr>
                <w:rFonts w:hint="eastAsia"/>
                <w:sz w:val="22"/>
                <w:lang w:val="en-US" w:eastAsia="zh-CN"/>
              </w:rPr>
              <w:t>8</w:t>
            </w:r>
            <w:r>
              <w:rPr>
                <w:sz w:val="22"/>
              </w:rPr>
              <w:t>月底前</w:t>
            </w:r>
          </w:p>
        </w:tc>
        <w:tc>
          <w:tcPr>
            <w:tcW w:w="1143" w:type="dxa"/>
            <w:vMerge w:val="continue"/>
          </w:tcPr>
          <w:p>
            <w:pPr>
              <w:jc w:val="both"/>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9460" w:type="dxa"/>
            <w:gridSpan w:val="7"/>
          </w:tcPr>
          <w:p>
            <w:pPr>
              <w:pStyle w:val="33"/>
              <w:spacing w:before="2"/>
              <w:jc w:val="both"/>
              <w:rPr>
                <w:rFonts w:ascii="宋体"/>
                <w:sz w:val="30"/>
              </w:rPr>
            </w:pPr>
          </w:p>
          <w:p>
            <w:pPr>
              <w:pStyle w:val="33"/>
              <w:ind w:left="107"/>
              <w:jc w:val="both"/>
              <w:rPr>
                <w:rFonts w:hint="eastAsia" w:ascii="楷体_GB2312" w:eastAsia="楷体_GB2312"/>
                <w:sz w:val="28"/>
              </w:rPr>
            </w:pPr>
            <w:r>
              <w:rPr>
                <w:rFonts w:hint="eastAsia" w:ascii="楷体_GB2312" w:eastAsia="楷体_GB2312"/>
                <w:sz w:val="28"/>
              </w:rPr>
              <w:t>（二）线上线下融合，打造服务专区</w:t>
            </w:r>
          </w:p>
        </w:tc>
      </w:tr>
    </w:tbl>
    <w:p>
      <w:pPr>
        <w:spacing w:after="0"/>
        <w:jc w:val="both"/>
        <w:rPr>
          <w:rFonts w:hint="eastAsia" w:ascii="楷体_GB2312" w:eastAsia="楷体_GB2312"/>
          <w:sz w:val="28"/>
        </w:rPr>
        <w:sectPr>
          <w:pgSz w:w="11910" w:h="16840"/>
          <w:pgMar w:top="1600" w:right="760" w:bottom="1300" w:left="1460" w:header="0" w:footer="1043" w:gutter="0"/>
          <w:pgNumType w:fmt="decimal"/>
          <w:cols w:space="720" w:num="1"/>
        </w:sect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731"/>
        <w:gridCol w:w="4403"/>
        <w:gridCol w:w="772"/>
        <w:gridCol w:w="1143"/>
        <w:gridCol w:w="1225"/>
        <w:gridCol w:w="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55" w:type="dxa"/>
          </w:tcPr>
          <w:p>
            <w:pPr>
              <w:pStyle w:val="33"/>
              <w:spacing w:before="18" w:line="273" w:lineRule="auto"/>
              <w:ind w:left="107" w:right="96"/>
              <w:jc w:val="both"/>
              <w:rPr>
                <w:sz w:val="22"/>
              </w:rPr>
            </w:pPr>
          </w:p>
          <w:p>
            <w:pPr>
              <w:pStyle w:val="33"/>
              <w:spacing w:before="18" w:line="273" w:lineRule="auto"/>
              <w:ind w:left="107" w:right="96"/>
              <w:jc w:val="both"/>
              <w:rPr>
                <w:sz w:val="22"/>
              </w:rPr>
            </w:pPr>
            <w:r>
              <w:rPr>
                <w:sz w:val="22"/>
              </w:rPr>
              <w:t>6</w:t>
            </w:r>
          </w:p>
        </w:tc>
        <w:tc>
          <w:tcPr>
            <w:tcW w:w="731" w:type="dxa"/>
            <w:vMerge w:val="restart"/>
          </w:tcPr>
          <w:p>
            <w:pPr>
              <w:pStyle w:val="33"/>
              <w:spacing w:before="2"/>
              <w:jc w:val="both"/>
              <w:rPr>
                <w:rFonts w:ascii="宋体"/>
                <w:sz w:val="16"/>
              </w:rPr>
            </w:pPr>
          </w:p>
          <w:p>
            <w:pPr>
              <w:pStyle w:val="33"/>
              <w:spacing w:before="1" w:line="273" w:lineRule="auto"/>
              <w:ind w:left="143" w:right="132" w:firstLine="1"/>
              <w:jc w:val="both"/>
              <w:rPr>
                <w:sz w:val="22"/>
              </w:rPr>
            </w:pPr>
          </w:p>
          <w:p>
            <w:pPr>
              <w:pStyle w:val="33"/>
              <w:spacing w:before="1" w:line="273" w:lineRule="auto"/>
              <w:ind w:left="143" w:right="132" w:firstLine="1"/>
              <w:jc w:val="both"/>
              <w:rPr>
                <w:sz w:val="22"/>
              </w:rPr>
            </w:pPr>
          </w:p>
          <w:p>
            <w:pPr>
              <w:pStyle w:val="33"/>
              <w:spacing w:before="1" w:line="273" w:lineRule="auto"/>
              <w:ind w:left="143" w:right="132" w:firstLine="1"/>
              <w:jc w:val="both"/>
              <w:rPr>
                <w:sz w:val="22"/>
              </w:rPr>
            </w:pPr>
            <w:r>
              <w:rPr>
                <w:sz w:val="22"/>
              </w:rPr>
              <w:t>推动线下服务创新</w:t>
            </w:r>
          </w:p>
        </w:tc>
        <w:tc>
          <w:tcPr>
            <w:tcW w:w="4403" w:type="dxa"/>
          </w:tcPr>
          <w:p>
            <w:pPr>
              <w:pStyle w:val="33"/>
              <w:spacing w:before="18" w:line="276" w:lineRule="exact"/>
              <w:ind w:left="107"/>
              <w:jc w:val="both"/>
              <w:rPr>
                <w:sz w:val="22"/>
              </w:rPr>
            </w:pPr>
            <w:r>
              <w:rPr>
                <w:sz w:val="22"/>
              </w:rPr>
              <w:t>在各类政务服务中心、公共服务机构等设置</w:t>
            </w:r>
          </w:p>
          <w:p>
            <w:pPr>
              <w:jc w:val="both"/>
            </w:pPr>
            <w:r>
              <w:t>相关事项办事窗口，实行线下“一窗综合受</w:t>
            </w:r>
          </w:p>
          <w:p>
            <w:pPr>
              <w:jc w:val="both"/>
            </w:pPr>
            <w:r>
              <w:t>理”，编制“双全双百”服务手册，提供全</w:t>
            </w:r>
          </w:p>
          <w:p>
            <w:pPr>
              <w:pStyle w:val="33"/>
              <w:spacing w:before="13" w:line="281" w:lineRule="exact"/>
              <w:ind w:left="107"/>
              <w:jc w:val="both"/>
              <w:rPr>
                <w:sz w:val="22"/>
              </w:rPr>
            </w:pPr>
            <w:r>
              <w:rPr>
                <w:sz w:val="22"/>
              </w:rPr>
              <w:t>方位咨询引导服务。</w:t>
            </w:r>
          </w:p>
        </w:tc>
        <w:tc>
          <w:tcPr>
            <w:tcW w:w="772" w:type="dxa"/>
            <w:vMerge w:val="restart"/>
            <w:vAlign w:val="center"/>
          </w:tcPr>
          <w:p>
            <w:pPr>
              <w:pStyle w:val="33"/>
              <w:spacing w:before="1" w:line="273" w:lineRule="auto"/>
              <w:ind w:right="126"/>
              <w:jc w:val="both"/>
              <w:rPr>
                <w:spacing w:val="55"/>
                <w:sz w:val="22"/>
              </w:rPr>
            </w:pPr>
          </w:p>
          <w:p>
            <w:pPr>
              <w:pStyle w:val="33"/>
              <w:spacing w:before="1" w:line="273" w:lineRule="auto"/>
              <w:ind w:left="163" w:right="126" w:firstLine="28"/>
              <w:jc w:val="center"/>
              <w:rPr>
                <w:spacing w:val="55"/>
                <w:sz w:val="22"/>
              </w:rPr>
            </w:pPr>
          </w:p>
          <w:p>
            <w:pPr>
              <w:pStyle w:val="33"/>
              <w:spacing w:before="1" w:line="273" w:lineRule="auto"/>
              <w:ind w:left="163" w:right="126" w:firstLine="28"/>
              <w:jc w:val="center"/>
              <w:rPr>
                <w:sz w:val="22"/>
              </w:rPr>
            </w:pPr>
            <w:r>
              <w:rPr>
                <w:spacing w:val="55"/>
                <w:sz w:val="22"/>
              </w:rPr>
              <w:t>8</w:t>
            </w:r>
            <w:r>
              <w:rPr>
                <w:sz w:val="22"/>
              </w:rPr>
              <w:t>月底前</w:t>
            </w:r>
          </w:p>
        </w:tc>
        <w:tc>
          <w:tcPr>
            <w:tcW w:w="1143" w:type="dxa"/>
            <w:vMerge w:val="restart"/>
            <w:vAlign w:val="center"/>
          </w:tcPr>
          <w:p>
            <w:pPr>
              <w:pStyle w:val="33"/>
              <w:spacing w:before="1" w:line="273" w:lineRule="auto"/>
              <w:ind w:right="121"/>
              <w:jc w:val="both"/>
              <w:rPr>
                <w:rFonts w:hint="eastAsia"/>
                <w:sz w:val="22"/>
                <w:lang w:val="en-US" w:eastAsia="zh-CN"/>
              </w:rPr>
            </w:pPr>
          </w:p>
          <w:p>
            <w:pPr>
              <w:pStyle w:val="33"/>
              <w:spacing w:before="1" w:line="273" w:lineRule="auto"/>
              <w:ind w:left="129" w:right="121"/>
              <w:jc w:val="center"/>
              <w:rPr>
                <w:rFonts w:hint="eastAsia"/>
                <w:sz w:val="22"/>
                <w:lang w:val="en-US" w:eastAsia="zh-CN"/>
              </w:rPr>
            </w:pPr>
          </w:p>
          <w:p>
            <w:pPr>
              <w:pStyle w:val="33"/>
              <w:spacing w:before="1" w:line="273" w:lineRule="auto"/>
              <w:ind w:left="129" w:right="121"/>
              <w:jc w:val="center"/>
              <w:rPr>
                <w:sz w:val="22"/>
              </w:rPr>
            </w:pPr>
            <w:r>
              <w:rPr>
                <w:rFonts w:hint="eastAsia"/>
                <w:sz w:val="22"/>
                <w:lang w:val="en-US" w:eastAsia="zh-CN"/>
              </w:rPr>
              <w:t>县</w:t>
            </w:r>
            <w:r>
              <w:rPr>
                <w:sz w:val="22"/>
              </w:rPr>
              <w:t>行政审批服务局</w:t>
            </w:r>
          </w:p>
        </w:tc>
        <w:tc>
          <w:tcPr>
            <w:tcW w:w="1225" w:type="dxa"/>
            <w:vMerge w:val="restart"/>
          </w:tcPr>
          <w:p>
            <w:pPr>
              <w:pStyle w:val="33"/>
              <w:spacing w:before="48" w:line="273" w:lineRule="auto"/>
              <w:ind w:left="106" w:right="97"/>
              <w:jc w:val="both"/>
              <w:rPr>
                <w:rFonts w:hint="eastAsia"/>
                <w:sz w:val="22"/>
                <w:lang w:val="en-US" w:eastAsia="zh-CN"/>
              </w:rPr>
            </w:pPr>
          </w:p>
          <w:p>
            <w:pPr>
              <w:pStyle w:val="33"/>
              <w:spacing w:before="48" w:line="273" w:lineRule="auto"/>
              <w:ind w:left="106" w:right="97"/>
              <w:jc w:val="both"/>
              <w:rPr>
                <w:rFonts w:hint="eastAsia"/>
                <w:sz w:val="22"/>
                <w:lang w:val="en-US" w:eastAsia="zh-CN"/>
              </w:rPr>
            </w:pPr>
          </w:p>
          <w:p>
            <w:pPr>
              <w:pStyle w:val="33"/>
              <w:spacing w:before="48" w:line="273" w:lineRule="auto"/>
              <w:ind w:left="106" w:right="97"/>
              <w:jc w:val="both"/>
              <w:rPr>
                <w:sz w:val="22"/>
              </w:rPr>
            </w:pPr>
            <w:r>
              <w:rPr>
                <w:rFonts w:hint="eastAsia"/>
                <w:sz w:val="22"/>
                <w:lang w:val="en-US" w:eastAsia="zh-CN"/>
              </w:rPr>
              <w:t>县</w:t>
            </w:r>
            <w:r>
              <w:rPr>
                <w:sz w:val="22"/>
              </w:rPr>
              <w:t xml:space="preserve">直部门单 </w:t>
            </w:r>
            <w:r>
              <w:rPr>
                <w:spacing w:val="-90"/>
                <w:sz w:val="22"/>
              </w:rPr>
              <w:t>位</w:t>
            </w:r>
            <w:r>
              <w:rPr>
                <w:sz w:val="22"/>
              </w:rPr>
              <w:t>（</w:t>
            </w:r>
            <w:r>
              <w:rPr>
                <w:spacing w:val="-6"/>
                <w:sz w:val="22"/>
              </w:rPr>
              <w:t>具体名</w:t>
            </w:r>
            <w:r>
              <w:rPr>
                <w:sz w:val="22"/>
              </w:rPr>
              <w:t>单见附件1、2）</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455" w:type="dxa"/>
          </w:tcPr>
          <w:p>
            <w:pPr>
              <w:pStyle w:val="33"/>
              <w:spacing w:before="18" w:line="273" w:lineRule="auto"/>
              <w:ind w:left="107" w:right="96"/>
              <w:jc w:val="both"/>
              <w:rPr>
                <w:sz w:val="22"/>
              </w:rPr>
            </w:pPr>
          </w:p>
          <w:p>
            <w:pPr>
              <w:pStyle w:val="33"/>
              <w:spacing w:before="18" w:line="273" w:lineRule="auto"/>
              <w:ind w:left="107" w:right="96"/>
              <w:jc w:val="both"/>
              <w:rPr>
                <w:sz w:val="22"/>
              </w:rPr>
            </w:pPr>
          </w:p>
          <w:p>
            <w:pPr>
              <w:pStyle w:val="33"/>
              <w:spacing w:before="18" w:line="273" w:lineRule="auto"/>
              <w:ind w:left="107" w:right="96"/>
              <w:jc w:val="both"/>
              <w:rPr>
                <w:sz w:val="22"/>
              </w:rPr>
            </w:pPr>
            <w:r>
              <w:rPr>
                <w:sz w:val="22"/>
              </w:rPr>
              <w:t>7</w:t>
            </w:r>
          </w:p>
        </w:tc>
        <w:tc>
          <w:tcPr>
            <w:tcW w:w="731" w:type="dxa"/>
            <w:vMerge w:val="continue"/>
          </w:tcPr>
          <w:p>
            <w:pPr>
              <w:jc w:val="both"/>
              <w:rPr>
                <w:sz w:val="2"/>
                <w:szCs w:val="2"/>
              </w:rPr>
            </w:pPr>
          </w:p>
        </w:tc>
        <w:tc>
          <w:tcPr>
            <w:tcW w:w="4403" w:type="dxa"/>
          </w:tcPr>
          <w:p>
            <w:pPr>
              <w:pStyle w:val="33"/>
              <w:spacing w:before="18" w:line="273" w:lineRule="auto"/>
              <w:ind w:left="107" w:right="96"/>
              <w:jc w:val="both"/>
              <w:rPr>
                <w:sz w:val="22"/>
              </w:rPr>
            </w:pPr>
            <w:r>
              <w:rPr>
                <w:sz w:val="22"/>
              </w:rPr>
              <w:t>完善帮办代办机制，组建流动服务队，实行</w:t>
            </w:r>
            <w:r>
              <w:rPr>
                <w:spacing w:val="-8"/>
                <w:sz w:val="22"/>
              </w:rPr>
              <w:t>“厅内帮办代办+厅外流动服务”，提升对老</w:t>
            </w:r>
            <w:r>
              <w:rPr>
                <w:sz w:val="22"/>
              </w:rPr>
              <w:t>年人、残疾人等特殊群体的无障碍服务能力</w:t>
            </w:r>
          </w:p>
          <w:p>
            <w:pPr>
              <w:pStyle w:val="33"/>
              <w:spacing w:line="277" w:lineRule="exact"/>
              <w:ind w:left="107"/>
              <w:jc w:val="both"/>
              <w:rPr>
                <w:sz w:val="22"/>
              </w:rPr>
            </w:pPr>
            <w:r>
              <w:rPr>
                <w:sz w:val="22"/>
              </w:rPr>
              <w:t>和项目服务保障能力。</w:t>
            </w:r>
          </w:p>
        </w:tc>
        <w:tc>
          <w:tcPr>
            <w:tcW w:w="772" w:type="dxa"/>
            <w:vMerge w:val="continue"/>
            <w:vAlign w:val="center"/>
          </w:tcPr>
          <w:p>
            <w:pPr>
              <w:jc w:val="center"/>
              <w:rPr>
                <w:sz w:val="2"/>
                <w:szCs w:val="2"/>
              </w:rPr>
            </w:pPr>
          </w:p>
        </w:tc>
        <w:tc>
          <w:tcPr>
            <w:tcW w:w="1143" w:type="dxa"/>
            <w:vMerge w:val="continue"/>
            <w:vAlign w:val="center"/>
          </w:tcPr>
          <w:p>
            <w:pPr>
              <w:jc w:val="center"/>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55" w:type="dxa"/>
          </w:tcPr>
          <w:p>
            <w:pPr>
              <w:pStyle w:val="33"/>
              <w:spacing w:before="18" w:line="273" w:lineRule="auto"/>
              <w:ind w:left="107" w:right="96"/>
              <w:jc w:val="both"/>
              <w:rPr>
                <w:sz w:val="22"/>
              </w:rPr>
            </w:pPr>
          </w:p>
          <w:p>
            <w:pPr>
              <w:pStyle w:val="33"/>
              <w:spacing w:before="18" w:line="273" w:lineRule="auto"/>
              <w:ind w:left="107" w:right="96"/>
              <w:jc w:val="both"/>
              <w:rPr>
                <w:sz w:val="22"/>
              </w:rPr>
            </w:pPr>
            <w:r>
              <w:rPr>
                <w:sz w:val="22"/>
              </w:rPr>
              <w:t>8</w:t>
            </w:r>
          </w:p>
        </w:tc>
        <w:tc>
          <w:tcPr>
            <w:tcW w:w="731" w:type="dxa"/>
            <w:vMerge w:val="continue"/>
          </w:tcPr>
          <w:p>
            <w:pPr>
              <w:pStyle w:val="33"/>
              <w:jc w:val="both"/>
              <w:rPr>
                <w:rFonts w:ascii="Times New Roman"/>
                <w:sz w:val="22"/>
              </w:rPr>
            </w:pPr>
          </w:p>
        </w:tc>
        <w:tc>
          <w:tcPr>
            <w:tcW w:w="4403" w:type="dxa"/>
          </w:tcPr>
          <w:p>
            <w:pPr>
              <w:pStyle w:val="33"/>
              <w:spacing w:before="48" w:line="276" w:lineRule="exact"/>
              <w:ind w:left="107"/>
              <w:jc w:val="both"/>
              <w:rPr>
                <w:sz w:val="22"/>
              </w:rPr>
            </w:pPr>
            <w:r>
              <w:rPr>
                <w:sz w:val="22"/>
              </w:rPr>
              <w:t>推动企业群众办事需求高的“双全双百”事</w:t>
            </w:r>
          </w:p>
          <w:p>
            <w:pPr>
              <w:pStyle w:val="33"/>
              <w:spacing w:before="14" w:line="276" w:lineRule="exact"/>
              <w:ind w:left="107" w:right="-15"/>
              <w:jc w:val="both"/>
              <w:rPr>
                <w:sz w:val="22"/>
              </w:rPr>
            </w:pPr>
            <w:r>
              <w:rPr>
                <w:spacing w:val="-6"/>
                <w:sz w:val="22"/>
              </w:rPr>
              <w:t>项下沉基层实施，打造</w:t>
            </w:r>
            <w:r>
              <w:rPr>
                <w:sz w:val="22"/>
              </w:rPr>
              <w:t>15</w:t>
            </w:r>
            <w:r>
              <w:rPr>
                <w:spacing w:val="-8"/>
                <w:sz w:val="22"/>
              </w:rPr>
              <w:t>分钟政务服务圈，</w:t>
            </w:r>
          </w:p>
          <w:p>
            <w:pPr>
              <w:pStyle w:val="33"/>
              <w:spacing w:before="14"/>
              <w:ind w:left="107"/>
              <w:jc w:val="both"/>
              <w:rPr>
                <w:sz w:val="22"/>
              </w:rPr>
            </w:pPr>
            <w:r>
              <w:rPr>
                <w:sz w:val="22"/>
              </w:rPr>
              <w:t>实现企业群众就近办理。</w:t>
            </w:r>
          </w:p>
        </w:tc>
        <w:tc>
          <w:tcPr>
            <w:tcW w:w="772" w:type="dxa"/>
            <w:vMerge w:val="continue"/>
            <w:vAlign w:val="center"/>
          </w:tcPr>
          <w:p>
            <w:pPr>
              <w:pStyle w:val="33"/>
              <w:jc w:val="center"/>
              <w:rPr>
                <w:rFonts w:ascii="Times New Roman"/>
                <w:sz w:val="22"/>
              </w:rPr>
            </w:pPr>
          </w:p>
        </w:tc>
        <w:tc>
          <w:tcPr>
            <w:tcW w:w="1143" w:type="dxa"/>
            <w:vMerge w:val="continue"/>
            <w:vAlign w:val="center"/>
          </w:tcPr>
          <w:p>
            <w:pPr>
              <w:pStyle w:val="33"/>
              <w:jc w:val="center"/>
              <w:rPr>
                <w:rFonts w:ascii="Times New Roman"/>
                <w:sz w:val="22"/>
              </w:rPr>
            </w:pPr>
          </w:p>
        </w:tc>
        <w:tc>
          <w:tcPr>
            <w:tcW w:w="1225" w:type="dxa"/>
            <w:vMerge w:val="continue"/>
          </w:tcPr>
          <w:p>
            <w:pPr>
              <w:pStyle w:val="33"/>
              <w:jc w:val="both"/>
              <w:rPr>
                <w:rFonts w:ascii="Times New Roman"/>
                <w:sz w:val="2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455" w:type="dxa"/>
          </w:tcPr>
          <w:p>
            <w:pPr>
              <w:pStyle w:val="33"/>
              <w:spacing w:before="18" w:line="273" w:lineRule="auto"/>
              <w:ind w:left="107" w:right="96"/>
              <w:jc w:val="both"/>
              <w:rPr>
                <w:sz w:val="22"/>
              </w:rPr>
            </w:pPr>
          </w:p>
          <w:p>
            <w:pPr>
              <w:pStyle w:val="33"/>
              <w:spacing w:before="18" w:line="273" w:lineRule="auto"/>
              <w:ind w:left="107" w:right="96"/>
              <w:jc w:val="both"/>
              <w:rPr>
                <w:sz w:val="22"/>
              </w:rPr>
            </w:pPr>
          </w:p>
          <w:p>
            <w:pPr>
              <w:pStyle w:val="33"/>
              <w:spacing w:before="18" w:line="273" w:lineRule="auto"/>
              <w:ind w:left="107" w:right="96"/>
              <w:jc w:val="both"/>
              <w:rPr>
                <w:sz w:val="22"/>
              </w:rPr>
            </w:pPr>
            <w:r>
              <w:rPr>
                <w:sz w:val="22"/>
              </w:rPr>
              <w:t>9</w:t>
            </w:r>
          </w:p>
        </w:tc>
        <w:tc>
          <w:tcPr>
            <w:tcW w:w="731" w:type="dxa"/>
            <w:vMerge w:val="restart"/>
          </w:tcPr>
          <w:p>
            <w:pPr>
              <w:pStyle w:val="33"/>
              <w:jc w:val="both"/>
              <w:rPr>
                <w:rFonts w:ascii="宋体"/>
                <w:sz w:val="22"/>
              </w:rPr>
            </w:pPr>
          </w:p>
          <w:p>
            <w:pPr>
              <w:pStyle w:val="33"/>
              <w:jc w:val="both"/>
              <w:rPr>
                <w:rFonts w:ascii="宋体"/>
                <w:sz w:val="22"/>
              </w:rPr>
            </w:pPr>
          </w:p>
          <w:p>
            <w:pPr>
              <w:pStyle w:val="33"/>
              <w:spacing w:before="10"/>
              <w:jc w:val="both"/>
              <w:rPr>
                <w:rFonts w:ascii="宋体"/>
                <w:sz w:val="19"/>
              </w:rPr>
            </w:pPr>
          </w:p>
          <w:p>
            <w:pPr>
              <w:pStyle w:val="33"/>
              <w:spacing w:line="273" w:lineRule="auto"/>
              <w:ind w:left="143" w:right="132" w:firstLine="1"/>
              <w:jc w:val="both"/>
              <w:rPr>
                <w:sz w:val="22"/>
              </w:rPr>
            </w:pPr>
            <w:r>
              <w:rPr>
                <w:sz w:val="22"/>
              </w:rPr>
              <w:t>建设线上服务专区</w:t>
            </w:r>
          </w:p>
        </w:tc>
        <w:tc>
          <w:tcPr>
            <w:tcW w:w="4403" w:type="dxa"/>
          </w:tcPr>
          <w:p>
            <w:pPr>
              <w:pStyle w:val="33"/>
              <w:spacing w:before="18" w:line="271" w:lineRule="auto"/>
              <w:ind w:left="107" w:right="-15"/>
              <w:jc w:val="both"/>
              <w:rPr>
                <w:sz w:val="22"/>
              </w:rPr>
            </w:pPr>
            <w:r>
              <w:rPr>
                <w:spacing w:val="-4"/>
                <w:sz w:val="22"/>
              </w:rPr>
              <w:t xml:space="preserve">完善提升政务服务平台、爱山东 </w:t>
            </w:r>
            <w:r>
              <w:rPr>
                <w:sz w:val="22"/>
              </w:rPr>
              <w:t>APP、爱山东</w:t>
            </w:r>
            <w:r>
              <w:rPr>
                <w:spacing w:val="-52"/>
                <w:sz w:val="22"/>
              </w:rPr>
              <w:t>·</w:t>
            </w:r>
            <w:r>
              <w:rPr>
                <w:spacing w:val="-14"/>
                <w:sz w:val="22"/>
              </w:rPr>
              <w:t xml:space="preserve">容沂办 </w:t>
            </w:r>
            <w:r>
              <w:rPr>
                <w:sz w:val="22"/>
              </w:rPr>
              <w:t>APP</w:t>
            </w:r>
            <w:r>
              <w:rPr>
                <w:spacing w:val="-12"/>
                <w:sz w:val="22"/>
              </w:rPr>
              <w:t xml:space="preserve"> 等平台服务功能，推进申请、</w:t>
            </w:r>
            <w:r>
              <w:rPr>
                <w:sz w:val="22"/>
              </w:rPr>
              <w:t>受理、审批、发证、归档全程电子化，实现</w:t>
            </w:r>
          </w:p>
          <w:p>
            <w:pPr>
              <w:pStyle w:val="33"/>
              <w:spacing w:before="5" w:line="281" w:lineRule="exact"/>
              <w:ind w:left="107"/>
              <w:jc w:val="both"/>
              <w:rPr>
                <w:sz w:val="22"/>
              </w:rPr>
            </w:pPr>
            <w:r>
              <w:rPr>
                <w:sz w:val="22"/>
              </w:rPr>
              <w:t>更多高频事项不见面办理。</w:t>
            </w:r>
          </w:p>
        </w:tc>
        <w:tc>
          <w:tcPr>
            <w:tcW w:w="772" w:type="dxa"/>
            <w:vMerge w:val="restart"/>
            <w:vAlign w:val="center"/>
          </w:tcPr>
          <w:p>
            <w:pPr>
              <w:pStyle w:val="33"/>
              <w:jc w:val="both"/>
              <w:rPr>
                <w:rFonts w:ascii="宋体"/>
                <w:sz w:val="22"/>
              </w:rPr>
            </w:pPr>
          </w:p>
          <w:p>
            <w:pPr>
              <w:pStyle w:val="33"/>
              <w:spacing w:before="10"/>
              <w:jc w:val="center"/>
              <w:rPr>
                <w:rFonts w:ascii="宋体"/>
                <w:sz w:val="22"/>
              </w:rPr>
            </w:pPr>
          </w:p>
          <w:p>
            <w:pPr>
              <w:pStyle w:val="33"/>
              <w:spacing w:line="271" w:lineRule="auto"/>
              <w:ind w:left="163" w:right="126" w:firstLine="28"/>
              <w:jc w:val="center"/>
              <w:rPr>
                <w:sz w:val="22"/>
              </w:rPr>
            </w:pPr>
            <w:r>
              <w:rPr>
                <w:spacing w:val="55"/>
                <w:sz w:val="22"/>
              </w:rPr>
              <w:t>9</w:t>
            </w:r>
            <w:r>
              <w:rPr>
                <w:sz w:val="22"/>
              </w:rPr>
              <w:t>月底前</w:t>
            </w:r>
          </w:p>
        </w:tc>
        <w:tc>
          <w:tcPr>
            <w:tcW w:w="1143" w:type="dxa"/>
            <w:vMerge w:val="restart"/>
            <w:vAlign w:val="center"/>
          </w:tcPr>
          <w:p>
            <w:pPr>
              <w:pStyle w:val="33"/>
              <w:jc w:val="both"/>
              <w:rPr>
                <w:rFonts w:ascii="宋体"/>
                <w:sz w:val="22"/>
              </w:rPr>
            </w:pPr>
          </w:p>
          <w:p>
            <w:pPr>
              <w:pStyle w:val="33"/>
              <w:spacing w:before="10"/>
              <w:jc w:val="center"/>
              <w:rPr>
                <w:rFonts w:ascii="宋体"/>
                <w:sz w:val="22"/>
              </w:rPr>
            </w:pPr>
          </w:p>
          <w:p>
            <w:pPr>
              <w:pStyle w:val="33"/>
              <w:spacing w:line="271" w:lineRule="auto"/>
              <w:ind w:left="129" w:right="121"/>
              <w:jc w:val="center"/>
              <w:rPr>
                <w:sz w:val="22"/>
              </w:rPr>
            </w:pPr>
            <w:r>
              <w:rPr>
                <w:rFonts w:hint="eastAsia"/>
                <w:sz w:val="22"/>
                <w:lang w:val="en-US" w:eastAsia="zh-CN"/>
              </w:rPr>
              <w:t>县</w:t>
            </w:r>
            <w:r>
              <w:rPr>
                <w:sz w:val="22"/>
              </w:rPr>
              <w:t>行政审批服务局</w:t>
            </w:r>
          </w:p>
        </w:tc>
        <w:tc>
          <w:tcPr>
            <w:tcW w:w="1225" w:type="dxa"/>
            <w:vMerge w:val="restart"/>
          </w:tcPr>
          <w:p>
            <w:pPr>
              <w:pStyle w:val="33"/>
              <w:jc w:val="both"/>
              <w:rPr>
                <w:rFonts w:ascii="宋体"/>
                <w:sz w:val="22"/>
              </w:rPr>
            </w:pPr>
          </w:p>
          <w:p>
            <w:pPr>
              <w:pStyle w:val="33"/>
              <w:spacing w:before="4"/>
              <w:jc w:val="both"/>
              <w:rPr>
                <w:rFonts w:ascii="宋体"/>
                <w:sz w:val="29"/>
              </w:rPr>
            </w:pPr>
          </w:p>
          <w:p>
            <w:pPr>
              <w:pStyle w:val="33"/>
              <w:spacing w:line="273" w:lineRule="auto"/>
              <w:ind w:left="106" w:right="97"/>
              <w:jc w:val="both"/>
              <w:rPr>
                <w:sz w:val="22"/>
              </w:rPr>
            </w:pPr>
            <w:r>
              <w:rPr>
                <w:rFonts w:hint="eastAsia"/>
                <w:sz w:val="22"/>
                <w:lang w:val="en-US" w:eastAsia="zh-CN"/>
              </w:rPr>
              <w:t>县</w:t>
            </w:r>
            <w:r>
              <w:rPr>
                <w:sz w:val="22"/>
              </w:rPr>
              <w:t xml:space="preserve">直部门单 </w:t>
            </w:r>
            <w:r>
              <w:rPr>
                <w:spacing w:val="-90"/>
                <w:sz w:val="22"/>
              </w:rPr>
              <w:t>位</w:t>
            </w:r>
            <w:r>
              <w:rPr>
                <w:sz w:val="22"/>
              </w:rPr>
              <w:t>（</w:t>
            </w:r>
            <w:r>
              <w:rPr>
                <w:spacing w:val="-6"/>
                <w:sz w:val="22"/>
              </w:rPr>
              <w:t>具体名</w:t>
            </w:r>
            <w:r>
              <w:rPr>
                <w:sz w:val="22"/>
              </w:rPr>
              <w:t>单见附件1、2）</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455" w:type="dxa"/>
          </w:tcPr>
          <w:p>
            <w:pPr>
              <w:pStyle w:val="33"/>
              <w:spacing w:before="18" w:line="273" w:lineRule="auto"/>
              <w:ind w:left="107" w:right="96"/>
              <w:jc w:val="both"/>
              <w:rPr>
                <w:sz w:val="22"/>
              </w:rPr>
            </w:pPr>
          </w:p>
          <w:p>
            <w:pPr>
              <w:pStyle w:val="33"/>
              <w:spacing w:before="18" w:line="273" w:lineRule="auto"/>
              <w:ind w:left="107" w:right="96"/>
              <w:jc w:val="both"/>
              <w:rPr>
                <w:sz w:val="22"/>
              </w:rPr>
            </w:pPr>
          </w:p>
          <w:p>
            <w:pPr>
              <w:pStyle w:val="33"/>
              <w:spacing w:before="18" w:line="273" w:lineRule="auto"/>
              <w:ind w:left="107" w:right="96"/>
              <w:jc w:val="both"/>
              <w:rPr>
                <w:sz w:val="22"/>
              </w:rPr>
            </w:pPr>
            <w:r>
              <w:rPr>
                <w:sz w:val="22"/>
              </w:rPr>
              <w:t>10</w:t>
            </w:r>
          </w:p>
        </w:tc>
        <w:tc>
          <w:tcPr>
            <w:tcW w:w="731" w:type="dxa"/>
            <w:vMerge w:val="continue"/>
          </w:tcPr>
          <w:p>
            <w:pPr>
              <w:jc w:val="both"/>
              <w:rPr>
                <w:sz w:val="2"/>
                <w:szCs w:val="2"/>
              </w:rPr>
            </w:pPr>
          </w:p>
        </w:tc>
        <w:tc>
          <w:tcPr>
            <w:tcW w:w="4403" w:type="dxa"/>
          </w:tcPr>
          <w:p>
            <w:pPr>
              <w:pStyle w:val="33"/>
              <w:spacing w:before="18" w:line="271" w:lineRule="auto"/>
              <w:ind w:left="107" w:right="102"/>
              <w:jc w:val="both"/>
              <w:rPr>
                <w:sz w:val="22"/>
              </w:rPr>
            </w:pPr>
            <w:r>
              <w:rPr>
                <w:sz w:val="22"/>
              </w:rPr>
              <w:t>在</w:t>
            </w:r>
            <w:r>
              <w:rPr>
                <w:rFonts w:hint="eastAsia"/>
                <w:sz w:val="22"/>
                <w:lang w:val="en-US" w:eastAsia="zh-CN"/>
              </w:rPr>
              <w:t>山东省</w:t>
            </w:r>
            <w:r>
              <w:rPr>
                <w:sz w:val="22"/>
              </w:rPr>
              <w:t>政务服务网（</w:t>
            </w:r>
            <w:r>
              <w:rPr>
                <w:rFonts w:hint="eastAsia"/>
                <w:sz w:val="22"/>
                <w:lang w:eastAsia="zh-CN"/>
              </w:rPr>
              <w:t>郯城站</w:t>
            </w:r>
            <w:r>
              <w:rPr>
                <w:sz w:val="22"/>
              </w:rPr>
              <w:t xml:space="preserve">）和“爱山东”APP </w:t>
            </w:r>
            <w:r>
              <w:rPr>
                <w:rFonts w:hint="eastAsia"/>
                <w:sz w:val="22"/>
                <w:lang w:eastAsia="zh-CN"/>
              </w:rPr>
              <w:t>郯城</w:t>
            </w:r>
            <w:r>
              <w:rPr>
                <w:sz w:val="22"/>
              </w:rPr>
              <w:t>分厅建设“双全双百”服务专区，对全生命周期各阶段政务服务事项进行梳理汇总、分类打包，推动零散信息和办理渠道在网上集成，实现线上“一网通办”。</w:t>
            </w:r>
          </w:p>
        </w:tc>
        <w:tc>
          <w:tcPr>
            <w:tcW w:w="772" w:type="dxa"/>
            <w:vMerge w:val="continue"/>
            <w:vAlign w:val="center"/>
          </w:tcPr>
          <w:p>
            <w:pPr>
              <w:jc w:val="center"/>
              <w:rPr>
                <w:sz w:val="2"/>
                <w:szCs w:val="2"/>
              </w:rPr>
            </w:pPr>
          </w:p>
        </w:tc>
        <w:tc>
          <w:tcPr>
            <w:tcW w:w="1143" w:type="dxa"/>
            <w:vMerge w:val="continue"/>
            <w:vAlign w:val="center"/>
          </w:tcPr>
          <w:p>
            <w:pPr>
              <w:jc w:val="center"/>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9460" w:type="dxa"/>
            <w:gridSpan w:val="7"/>
            <w:vAlign w:val="center"/>
          </w:tcPr>
          <w:p>
            <w:pPr>
              <w:pStyle w:val="33"/>
              <w:spacing w:before="11"/>
              <w:jc w:val="center"/>
              <w:rPr>
                <w:rFonts w:ascii="宋体"/>
                <w:sz w:val="23"/>
              </w:rPr>
            </w:pPr>
          </w:p>
          <w:p>
            <w:pPr>
              <w:pStyle w:val="33"/>
              <w:spacing w:before="1"/>
              <w:ind w:left="107"/>
              <w:jc w:val="both"/>
              <w:rPr>
                <w:rFonts w:hint="eastAsia" w:ascii="楷体_GB2312" w:eastAsia="楷体_GB2312"/>
                <w:sz w:val="28"/>
              </w:rPr>
            </w:pPr>
            <w:r>
              <w:rPr>
                <w:rFonts w:hint="eastAsia" w:ascii="楷体_GB2312" w:eastAsia="楷体_GB2312"/>
                <w:sz w:val="28"/>
              </w:rPr>
              <w:t>（三）突出数据共享，夯实改革保障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55" w:type="dxa"/>
            <w:vMerge w:val="restart"/>
          </w:tcPr>
          <w:p>
            <w:pPr>
              <w:pStyle w:val="33"/>
              <w:spacing w:before="173"/>
              <w:ind w:left="116"/>
              <w:jc w:val="both"/>
              <w:rPr>
                <w:sz w:val="22"/>
              </w:rPr>
            </w:pPr>
          </w:p>
          <w:p>
            <w:pPr>
              <w:pStyle w:val="33"/>
              <w:spacing w:before="173"/>
              <w:ind w:left="116"/>
              <w:jc w:val="both"/>
              <w:rPr>
                <w:sz w:val="22"/>
              </w:rPr>
            </w:pPr>
            <w:r>
              <w:rPr>
                <w:sz w:val="22"/>
              </w:rPr>
              <w:t>11</w:t>
            </w:r>
          </w:p>
        </w:tc>
        <w:tc>
          <w:tcPr>
            <w:tcW w:w="731" w:type="dxa"/>
            <w:vMerge w:val="restart"/>
          </w:tcPr>
          <w:p>
            <w:pPr>
              <w:pStyle w:val="33"/>
              <w:jc w:val="both"/>
              <w:rPr>
                <w:rFonts w:ascii="宋体"/>
                <w:sz w:val="22"/>
              </w:rPr>
            </w:pPr>
          </w:p>
          <w:p>
            <w:pPr>
              <w:pStyle w:val="33"/>
              <w:spacing w:before="6"/>
              <w:jc w:val="both"/>
              <w:rPr>
                <w:rFonts w:ascii="宋体"/>
                <w:sz w:val="16"/>
              </w:rPr>
            </w:pPr>
          </w:p>
          <w:p>
            <w:pPr>
              <w:pStyle w:val="33"/>
              <w:spacing w:line="273" w:lineRule="auto"/>
              <w:ind w:left="143" w:right="132" w:firstLine="1"/>
              <w:jc w:val="both"/>
              <w:rPr>
                <w:sz w:val="22"/>
              </w:rPr>
            </w:pPr>
          </w:p>
          <w:p>
            <w:pPr>
              <w:pStyle w:val="33"/>
              <w:spacing w:line="273" w:lineRule="auto"/>
              <w:ind w:left="143" w:right="132" w:firstLine="1"/>
              <w:jc w:val="both"/>
              <w:rPr>
                <w:sz w:val="22"/>
              </w:rPr>
            </w:pPr>
            <w:r>
              <w:rPr>
                <w:sz w:val="22"/>
              </w:rPr>
              <w:t>统一事项办理标准</w:t>
            </w:r>
          </w:p>
        </w:tc>
        <w:tc>
          <w:tcPr>
            <w:tcW w:w="4403" w:type="dxa"/>
            <w:vMerge w:val="restart"/>
          </w:tcPr>
          <w:p>
            <w:pPr>
              <w:pStyle w:val="33"/>
              <w:spacing w:before="18" w:line="276" w:lineRule="exact"/>
              <w:ind w:left="107"/>
              <w:jc w:val="both"/>
              <w:rPr>
                <w:sz w:val="22"/>
              </w:rPr>
            </w:pPr>
            <w:r>
              <w:rPr>
                <w:sz w:val="22"/>
              </w:rPr>
              <w:t>依托山东省政务服务事项管理系统，对“双</w:t>
            </w:r>
          </w:p>
          <w:p>
            <w:pPr>
              <w:pStyle w:val="33"/>
              <w:spacing w:before="14"/>
              <w:ind w:left="107" w:right="-15"/>
              <w:jc w:val="both"/>
              <w:rPr>
                <w:sz w:val="22"/>
              </w:rPr>
            </w:pPr>
            <w:r>
              <w:rPr>
                <w:spacing w:val="-12"/>
                <w:sz w:val="22"/>
              </w:rPr>
              <w:t>全双百”事项要素实行同源管理和动态调整，</w:t>
            </w:r>
          </w:p>
          <w:p>
            <w:pPr>
              <w:pStyle w:val="33"/>
              <w:spacing w:line="320" w:lineRule="atLeast"/>
              <w:ind w:left="107" w:right="102"/>
              <w:jc w:val="both"/>
              <w:rPr>
                <w:sz w:val="22"/>
              </w:rPr>
            </w:pPr>
            <w:r>
              <w:rPr>
                <w:sz w:val="22"/>
              </w:rPr>
              <w:t>及时更新维护流程再造成果，确保要素准确性。</w:t>
            </w:r>
          </w:p>
        </w:tc>
        <w:tc>
          <w:tcPr>
            <w:tcW w:w="772" w:type="dxa"/>
            <w:vMerge w:val="restart"/>
            <w:vAlign w:val="center"/>
          </w:tcPr>
          <w:p>
            <w:pPr>
              <w:pStyle w:val="33"/>
              <w:spacing w:before="14" w:line="273" w:lineRule="auto"/>
              <w:ind w:right="153"/>
              <w:jc w:val="both"/>
              <w:rPr>
                <w:sz w:val="22"/>
              </w:rPr>
            </w:pPr>
          </w:p>
          <w:p>
            <w:pPr>
              <w:pStyle w:val="33"/>
              <w:spacing w:before="14" w:line="273" w:lineRule="auto"/>
              <w:ind w:left="163" w:right="153" w:firstLine="1"/>
              <w:jc w:val="center"/>
              <w:rPr>
                <w:sz w:val="22"/>
              </w:rPr>
            </w:pPr>
            <w:r>
              <w:rPr>
                <w:sz w:val="22"/>
              </w:rPr>
              <w:t>长期推进</w:t>
            </w:r>
          </w:p>
        </w:tc>
        <w:tc>
          <w:tcPr>
            <w:tcW w:w="1143" w:type="dxa"/>
            <w:vMerge w:val="restart"/>
            <w:vAlign w:val="center"/>
          </w:tcPr>
          <w:p>
            <w:pPr>
              <w:pStyle w:val="33"/>
              <w:spacing w:before="173" w:line="273" w:lineRule="auto"/>
              <w:ind w:left="129" w:right="121"/>
              <w:jc w:val="center"/>
              <w:rPr>
                <w:rFonts w:hint="eastAsia"/>
                <w:sz w:val="22"/>
                <w:lang w:val="en-US" w:eastAsia="zh-CN"/>
              </w:rPr>
            </w:pPr>
          </w:p>
          <w:p>
            <w:pPr>
              <w:pStyle w:val="33"/>
              <w:spacing w:before="173" w:line="273" w:lineRule="auto"/>
              <w:ind w:left="129" w:right="121"/>
              <w:jc w:val="center"/>
              <w:rPr>
                <w:sz w:val="22"/>
              </w:rPr>
            </w:pPr>
            <w:r>
              <w:rPr>
                <w:rFonts w:hint="eastAsia"/>
                <w:sz w:val="22"/>
                <w:lang w:val="en-US" w:eastAsia="zh-CN"/>
              </w:rPr>
              <w:t>县</w:t>
            </w:r>
            <w:r>
              <w:rPr>
                <w:sz w:val="22"/>
              </w:rPr>
              <w:t>直有关部门单位</w:t>
            </w:r>
          </w:p>
          <w:p>
            <w:pPr>
              <w:pStyle w:val="33"/>
              <w:spacing w:line="273" w:lineRule="auto"/>
              <w:ind w:left="106" w:right="97" w:firstLine="22"/>
              <w:jc w:val="center"/>
              <w:rPr>
                <w:sz w:val="22"/>
              </w:rPr>
            </w:pPr>
            <w:r>
              <w:rPr>
                <w:sz w:val="22"/>
              </w:rPr>
              <w:t>（具体名单见附件1</w:t>
            </w:r>
            <w:r>
              <w:rPr>
                <w:spacing w:val="-8"/>
                <w:sz w:val="22"/>
              </w:rPr>
              <w:t>、</w:t>
            </w:r>
            <w:r>
              <w:rPr>
                <w:sz w:val="22"/>
              </w:rPr>
              <w:t>2</w:t>
            </w:r>
            <w:r>
              <w:rPr>
                <w:spacing w:val="-25"/>
                <w:sz w:val="22"/>
              </w:rPr>
              <w:t xml:space="preserve"> 牵头</w:t>
            </w:r>
            <w:r>
              <w:rPr>
                <w:sz w:val="22"/>
              </w:rPr>
              <w:t>部门）</w:t>
            </w:r>
          </w:p>
        </w:tc>
        <w:tc>
          <w:tcPr>
            <w:tcW w:w="1225" w:type="dxa"/>
            <w:vMerge w:val="restart"/>
          </w:tcPr>
          <w:p>
            <w:pPr>
              <w:pStyle w:val="33"/>
              <w:spacing w:before="173" w:line="273" w:lineRule="auto"/>
              <w:ind w:left="106" w:right="97" w:hanging="1"/>
              <w:jc w:val="both"/>
              <w:rPr>
                <w:rFonts w:hint="eastAsia"/>
                <w:sz w:val="22"/>
                <w:lang w:val="en-US" w:eastAsia="zh-CN"/>
              </w:rPr>
            </w:pPr>
          </w:p>
          <w:p>
            <w:pPr>
              <w:pStyle w:val="33"/>
              <w:spacing w:before="173" w:line="273" w:lineRule="auto"/>
              <w:ind w:left="106" w:right="97" w:hanging="1"/>
              <w:jc w:val="both"/>
              <w:rPr>
                <w:sz w:val="22"/>
              </w:rPr>
            </w:pPr>
            <w:r>
              <w:rPr>
                <w:rFonts w:hint="eastAsia"/>
                <w:sz w:val="22"/>
                <w:lang w:val="en-US" w:eastAsia="zh-CN"/>
              </w:rPr>
              <w:t>县</w:t>
            </w:r>
            <w:r>
              <w:rPr>
                <w:sz w:val="22"/>
              </w:rPr>
              <w:t xml:space="preserve">直部门单 </w:t>
            </w:r>
            <w:r>
              <w:rPr>
                <w:spacing w:val="-90"/>
                <w:sz w:val="22"/>
              </w:rPr>
              <w:t>位</w:t>
            </w:r>
            <w:r>
              <w:rPr>
                <w:sz w:val="22"/>
              </w:rPr>
              <w:t>（</w:t>
            </w:r>
            <w:r>
              <w:rPr>
                <w:spacing w:val="-6"/>
                <w:sz w:val="22"/>
              </w:rPr>
              <w:t>具体名</w:t>
            </w:r>
            <w:r>
              <w:rPr>
                <w:sz w:val="22"/>
              </w:rPr>
              <w:t>单见附件 1、2</w:t>
            </w:r>
            <w:r>
              <w:rPr>
                <w:spacing w:val="-19"/>
                <w:sz w:val="22"/>
              </w:rPr>
              <w:t xml:space="preserve"> 协同部门）</w:t>
            </w:r>
          </w:p>
        </w:tc>
        <w:tc>
          <w:tcPr>
            <w:tcW w:w="731" w:type="dxa"/>
            <w:vMerge w:val="restart"/>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455" w:type="dxa"/>
          </w:tcPr>
          <w:p>
            <w:pPr>
              <w:pStyle w:val="33"/>
              <w:jc w:val="both"/>
              <w:rPr>
                <w:rFonts w:ascii="宋体"/>
                <w:sz w:val="22"/>
              </w:rPr>
            </w:pPr>
          </w:p>
          <w:p>
            <w:pPr>
              <w:pStyle w:val="33"/>
              <w:spacing w:before="4"/>
              <w:jc w:val="both"/>
              <w:rPr>
                <w:rFonts w:ascii="宋体"/>
                <w:sz w:val="29"/>
              </w:rPr>
            </w:pPr>
          </w:p>
          <w:p>
            <w:pPr>
              <w:pStyle w:val="33"/>
              <w:ind w:left="116"/>
              <w:jc w:val="both"/>
              <w:rPr>
                <w:sz w:val="22"/>
              </w:rPr>
            </w:pPr>
            <w:r>
              <w:rPr>
                <w:sz w:val="22"/>
              </w:rPr>
              <w:t>12</w:t>
            </w:r>
          </w:p>
        </w:tc>
        <w:tc>
          <w:tcPr>
            <w:tcW w:w="731" w:type="dxa"/>
            <w:vMerge w:val="continue"/>
          </w:tcPr>
          <w:p>
            <w:pPr>
              <w:jc w:val="both"/>
              <w:rPr>
                <w:sz w:val="2"/>
                <w:szCs w:val="2"/>
              </w:rPr>
            </w:pPr>
          </w:p>
        </w:tc>
        <w:tc>
          <w:tcPr>
            <w:tcW w:w="4403" w:type="dxa"/>
          </w:tcPr>
          <w:p>
            <w:pPr>
              <w:pStyle w:val="33"/>
              <w:spacing w:before="18" w:line="273" w:lineRule="auto"/>
              <w:ind w:left="107" w:right="102"/>
              <w:jc w:val="both"/>
              <w:rPr>
                <w:sz w:val="22"/>
              </w:rPr>
            </w:pPr>
            <w:r>
              <w:rPr>
                <w:spacing w:val="-1"/>
                <w:sz w:val="22"/>
              </w:rPr>
              <w:t>按照优化的服务流程，编制“双全双百”事项工作规范和“零基础”标准化办事指南， 统一明确办理条件、申请材料、办理流程和</w:t>
            </w:r>
          </w:p>
          <w:p>
            <w:pPr>
              <w:jc w:val="both"/>
              <w:rPr>
                <w:sz w:val="22"/>
              </w:rPr>
            </w:pPr>
            <w:r>
              <w:t>审查标准等要素，实现同一事项无差</w:t>
            </w:r>
            <w:r>
              <w:rPr>
                <w:sz w:val="22"/>
              </w:rPr>
              <w:t>别受理、同标准办理。</w:t>
            </w:r>
          </w:p>
        </w:tc>
        <w:tc>
          <w:tcPr>
            <w:tcW w:w="772" w:type="dxa"/>
            <w:vAlign w:val="center"/>
          </w:tcPr>
          <w:p>
            <w:pPr>
              <w:pStyle w:val="33"/>
              <w:spacing w:before="11"/>
              <w:jc w:val="both"/>
              <w:rPr>
                <w:rFonts w:ascii="宋体"/>
                <w:sz w:val="16"/>
              </w:rPr>
            </w:pPr>
          </w:p>
          <w:p>
            <w:pPr>
              <w:pStyle w:val="33"/>
              <w:spacing w:line="273" w:lineRule="auto"/>
              <w:ind w:left="163" w:right="126" w:firstLine="28"/>
              <w:jc w:val="center"/>
              <w:rPr>
                <w:sz w:val="22"/>
              </w:rPr>
            </w:pPr>
            <w:r>
              <w:rPr>
                <w:spacing w:val="55"/>
                <w:sz w:val="22"/>
              </w:rPr>
              <w:t>7</w:t>
            </w:r>
            <w:r>
              <w:rPr>
                <w:sz w:val="22"/>
              </w:rPr>
              <w:t>月底前</w:t>
            </w:r>
          </w:p>
        </w:tc>
        <w:tc>
          <w:tcPr>
            <w:tcW w:w="1143" w:type="dxa"/>
            <w:vMerge w:val="continue"/>
            <w:vAlign w:val="center"/>
          </w:tcPr>
          <w:p>
            <w:pPr>
              <w:jc w:val="center"/>
              <w:rPr>
                <w:sz w:val="2"/>
                <w:szCs w:val="2"/>
              </w:rPr>
            </w:pPr>
          </w:p>
        </w:tc>
        <w:tc>
          <w:tcPr>
            <w:tcW w:w="1225" w:type="dxa"/>
            <w:vMerge w:val="continue"/>
          </w:tcPr>
          <w:p>
            <w:pPr>
              <w:jc w:val="both"/>
              <w:rPr>
                <w:sz w:val="2"/>
                <w:szCs w:val="2"/>
              </w:rPr>
            </w:pPr>
          </w:p>
        </w:tc>
        <w:tc>
          <w:tcPr>
            <w:tcW w:w="731" w:type="dxa"/>
            <w:vMerge w:val="restart"/>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455" w:type="dxa"/>
          </w:tcPr>
          <w:p>
            <w:pPr>
              <w:pStyle w:val="33"/>
              <w:spacing w:before="11"/>
              <w:jc w:val="both"/>
              <w:rPr>
                <w:rFonts w:ascii="宋体"/>
                <w:sz w:val="22"/>
              </w:rPr>
            </w:pPr>
          </w:p>
          <w:p>
            <w:pPr>
              <w:pStyle w:val="33"/>
              <w:ind w:left="116"/>
              <w:jc w:val="both"/>
              <w:rPr>
                <w:sz w:val="22"/>
              </w:rPr>
            </w:pPr>
            <w:r>
              <w:rPr>
                <w:sz w:val="22"/>
              </w:rPr>
              <w:t>13</w:t>
            </w:r>
          </w:p>
        </w:tc>
        <w:tc>
          <w:tcPr>
            <w:tcW w:w="731" w:type="dxa"/>
            <w:vMerge w:val="restart"/>
          </w:tcPr>
          <w:p>
            <w:pPr>
              <w:pStyle w:val="33"/>
              <w:spacing w:before="190" w:line="273" w:lineRule="auto"/>
              <w:ind w:left="143" w:right="132" w:firstLine="1"/>
              <w:jc w:val="both"/>
              <w:rPr>
                <w:sz w:val="22"/>
              </w:rPr>
            </w:pPr>
          </w:p>
          <w:p>
            <w:pPr>
              <w:pStyle w:val="33"/>
              <w:spacing w:before="190" w:line="273" w:lineRule="auto"/>
              <w:ind w:left="143" w:right="132" w:firstLine="1"/>
              <w:jc w:val="both"/>
              <w:rPr>
                <w:sz w:val="22"/>
              </w:rPr>
            </w:pPr>
          </w:p>
          <w:p>
            <w:pPr>
              <w:pStyle w:val="33"/>
              <w:spacing w:before="190" w:line="273" w:lineRule="auto"/>
              <w:ind w:left="143" w:right="132" w:firstLine="1"/>
              <w:jc w:val="both"/>
              <w:rPr>
                <w:sz w:val="22"/>
              </w:rPr>
            </w:pPr>
            <w:r>
              <w:rPr>
                <w:sz w:val="22"/>
              </w:rPr>
              <w:t>强化数据共享应用</w:t>
            </w:r>
          </w:p>
        </w:tc>
        <w:tc>
          <w:tcPr>
            <w:tcW w:w="4403" w:type="dxa"/>
          </w:tcPr>
          <w:p>
            <w:pPr>
              <w:pStyle w:val="33"/>
              <w:spacing w:before="95" w:line="320" w:lineRule="atLeast"/>
              <w:ind w:left="107" w:right="102"/>
              <w:jc w:val="both"/>
              <w:rPr>
                <w:sz w:val="22"/>
              </w:rPr>
            </w:pPr>
            <w:r>
              <w:rPr>
                <w:sz w:val="22"/>
              </w:rPr>
              <w:t>组织</w:t>
            </w:r>
            <w:r>
              <w:rPr>
                <w:rFonts w:hint="eastAsia"/>
                <w:sz w:val="22"/>
                <w:lang w:val="en-US" w:eastAsia="zh-CN"/>
              </w:rPr>
              <w:t>县</w:t>
            </w:r>
            <w:r>
              <w:rPr>
                <w:sz w:val="22"/>
              </w:rPr>
              <w:t>直部门单位根据事项办理和集成服务需要，形成数据共享需求清单。</w:t>
            </w:r>
          </w:p>
        </w:tc>
        <w:tc>
          <w:tcPr>
            <w:tcW w:w="772" w:type="dxa"/>
            <w:vAlign w:val="center"/>
          </w:tcPr>
          <w:p>
            <w:pPr>
              <w:pStyle w:val="33"/>
              <w:spacing w:before="95" w:line="320" w:lineRule="atLeast"/>
              <w:ind w:left="163" w:right="126" w:firstLine="28"/>
              <w:jc w:val="center"/>
              <w:rPr>
                <w:sz w:val="22"/>
              </w:rPr>
            </w:pPr>
            <w:r>
              <w:rPr>
                <w:rFonts w:hint="eastAsia"/>
                <w:spacing w:val="55"/>
                <w:sz w:val="22"/>
                <w:lang w:val="en-US" w:eastAsia="zh-CN"/>
              </w:rPr>
              <w:t>7</w:t>
            </w:r>
            <w:r>
              <w:rPr>
                <w:sz w:val="22"/>
              </w:rPr>
              <w:t>月底前</w:t>
            </w:r>
          </w:p>
        </w:tc>
        <w:tc>
          <w:tcPr>
            <w:tcW w:w="1143" w:type="dxa"/>
            <w:vMerge w:val="restart"/>
            <w:vAlign w:val="center"/>
          </w:tcPr>
          <w:p>
            <w:pPr>
              <w:pStyle w:val="33"/>
              <w:spacing w:before="190" w:line="273" w:lineRule="auto"/>
              <w:ind w:right="121"/>
              <w:jc w:val="center"/>
              <w:rPr>
                <w:sz w:val="22"/>
              </w:rPr>
            </w:pPr>
            <w:r>
              <w:rPr>
                <w:rFonts w:hint="eastAsia"/>
                <w:sz w:val="22"/>
                <w:lang w:val="en-US" w:eastAsia="zh-CN"/>
              </w:rPr>
              <w:t>县</w:t>
            </w:r>
            <w:r>
              <w:rPr>
                <w:sz w:val="22"/>
              </w:rPr>
              <w:t>大数据局、</w:t>
            </w:r>
            <w:r>
              <w:rPr>
                <w:rFonts w:hint="eastAsia"/>
                <w:sz w:val="22"/>
                <w:lang w:val="en-US" w:eastAsia="zh-CN"/>
              </w:rPr>
              <w:t>县</w:t>
            </w:r>
            <w:r>
              <w:rPr>
                <w:sz w:val="22"/>
              </w:rPr>
              <w:t>行政审批服务局</w:t>
            </w:r>
          </w:p>
        </w:tc>
        <w:tc>
          <w:tcPr>
            <w:tcW w:w="1225" w:type="dxa"/>
            <w:vMerge w:val="restart"/>
          </w:tcPr>
          <w:p>
            <w:pPr>
              <w:pStyle w:val="33"/>
              <w:spacing w:before="31" w:line="273" w:lineRule="auto"/>
              <w:ind w:left="106" w:right="97" w:hanging="1"/>
              <w:jc w:val="both"/>
              <w:rPr>
                <w:rFonts w:hint="eastAsia"/>
                <w:sz w:val="22"/>
                <w:lang w:val="en-US" w:eastAsia="zh-CN"/>
              </w:rPr>
            </w:pPr>
          </w:p>
          <w:p>
            <w:pPr>
              <w:pStyle w:val="33"/>
              <w:spacing w:before="31" w:line="273" w:lineRule="auto"/>
              <w:ind w:left="106" w:right="97" w:hanging="1"/>
              <w:jc w:val="both"/>
              <w:rPr>
                <w:rFonts w:hint="eastAsia"/>
                <w:sz w:val="22"/>
                <w:lang w:val="en-US" w:eastAsia="zh-CN"/>
              </w:rPr>
            </w:pPr>
          </w:p>
          <w:p>
            <w:pPr>
              <w:pStyle w:val="33"/>
              <w:spacing w:before="31" w:line="273" w:lineRule="auto"/>
              <w:ind w:left="106" w:right="97" w:hanging="1"/>
              <w:jc w:val="both"/>
              <w:rPr>
                <w:rFonts w:hint="eastAsia"/>
                <w:sz w:val="22"/>
                <w:lang w:val="en-US" w:eastAsia="zh-CN"/>
              </w:rPr>
            </w:pPr>
          </w:p>
          <w:p>
            <w:pPr>
              <w:pStyle w:val="33"/>
              <w:spacing w:before="31" w:line="273" w:lineRule="auto"/>
              <w:ind w:left="106" w:right="97" w:hanging="1"/>
              <w:jc w:val="both"/>
              <w:rPr>
                <w:sz w:val="22"/>
              </w:rPr>
            </w:pPr>
            <w:r>
              <w:rPr>
                <w:rFonts w:hint="eastAsia"/>
                <w:sz w:val="22"/>
                <w:lang w:val="en-US" w:eastAsia="zh-CN"/>
              </w:rPr>
              <w:t>县</w:t>
            </w:r>
            <w:r>
              <w:rPr>
                <w:sz w:val="22"/>
              </w:rPr>
              <w:t>直部门单</w:t>
            </w:r>
            <w:r>
              <w:rPr>
                <w:spacing w:val="-90"/>
                <w:sz w:val="22"/>
              </w:rPr>
              <w:t>位</w:t>
            </w:r>
            <w:r>
              <w:rPr>
                <w:sz w:val="22"/>
              </w:rPr>
              <w:t>（</w:t>
            </w:r>
            <w:r>
              <w:rPr>
                <w:spacing w:val="-6"/>
                <w:sz w:val="22"/>
              </w:rPr>
              <w:t>具体名</w:t>
            </w:r>
            <w:r>
              <w:rPr>
                <w:sz w:val="22"/>
              </w:rPr>
              <w:t>单见附件 1、2）</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455" w:type="dxa"/>
          </w:tcPr>
          <w:p>
            <w:pPr>
              <w:pStyle w:val="33"/>
              <w:spacing w:before="9"/>
              <w:jc w:val="both"/>
              <w:rPr>
                <w:rFonts w:ascii="宋体"/>
                <w:sz w:val="28"/>
              </w:rPr>
            </w:pPr>
          </w:p>
          <w:p>
            <w:pPr>
              <w:pStyle w:val="33"/>
              <w:ind w:left="116"/>
              <w:jc w:val="both"/>
              <w:rPr>
                <w:sz w:val="22"/>
              </w:rPr>
            </w:pPr>
            <w:r>
              <w:rPr>
                <w:sz w:val="22"/>
              </w:rPr>
              <w:t>14</w:t>
            </w:r>
          </w:p>
        </w:tc>
        <w:tc>
          <w:tcPr>
            <w:tcW w:w="731" w:type="dxa"/>
            <w:vMerge w:val="continue"/>
          </w:tcPr>
          <w:p>
            <w:pPr>
              <w:jc w:val="both"/>
              <w:rPr>
                <w:sz w:val="2"/>
                <w:szCs w:val="2"/>
              </w:rPr>
            </w:pPr>
          </w:p>
        </w:tc>
        <w:tc>
          <w:tcPr>
            <w:tcW w:w="4403" w:type="dxa"/>
          </w:tcPr>
          <w:p>
            <w:pPr>
              <w:pStyle w:val="33"/>
              <w:spacing w:before="10" w:line="320" w:lineRule="atLeast"/>
              <w:ind w:left="107" w:right="102"/>
              <w:jc w:val="both"/>
              <w:rPr>
                <w:sz w:val="22"/>
              </w:rPr>
            </w:pPr>
            <w:r>
              <w:rPr>
                <w:sz w:val="22"/>
              </w:rPr>
              <w:t>加强电子证照、电子印章、电子签名、电子档案等基础应用，实现更多申报材料“免提交”，全面打造“无证明城市”。</w:t>
            </w:r>
          </w:p>
        </w:tc>
        <w:tc>
          <w:tcPr>
            <w:tcW w:w="772" w:type="dxa"/>
            <w:vAlign w:val="center"/>
          </w:tcPr>
          <w:p>
            <w:pPr>
              <w:pStyle w:val="33"/>
              <w:spacing w:before="3"/>
              <w:jc w:val="center"/>
              <w:rPr>
                <w:rFonts w:ascii="宋体"/>
                <w:sz w:val="16"/>
              </w:rPr>
            </w:pPr>
          </w:p>
          <w:p>
            <w:pPr>
              <w:pStyle w:val="33"/>
              <w:spacing w:line="273" w:lineRule="auto"/>
              <w:ind w:left="163" w:right="126" w:firstLine="28"/>
              <w:jc w:val="center"/>
              <w:rPr>
                <w:sz w:val="22"/>
              </w:rPr>
            </w:pPr>
            <w:r>
              <w:rPr>
                <w:spacing w:val="55"/>
                <w:sz w:val="22"/>
              </w:rPr>
              <w:t>9</w:t>
            </w:r>
            <w:r>
              <w:rPr>
                <w:sz w:val="22"/>
              </w:rPr>
              <w:t>月底前</w:t>
            </w:r>
          </w:p>
        </w:tc>
        <w:tc>
          <w:tcPr>
            <w:tcW w:w="1143" w:type="dxa"/>
            <w:vMerge w:val="continue"/>
            <w:vAlign w:val="center"/>
          </w:tcPr>
          <w:p>
            <w:pPr>
              <w:jc w:val="center"/>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455" w:type="dxa"/>
          </w:tcPr>
          <w:p>
            <w:pPr>
              <w:pStyle w:val="33"/>
              <w:jc w:val="both"/>
              <w:rPr>
                <w:rFonts w:ascii="宋体"/>
                <w:sz w:val="22"/>
              </w:rPr>
            </w:pPr>
          </w:p>
          <w:p>
            <w:pPr>
              <w:pStyle w:val="33"/>
              <w:spacing w:before="11"/>
              <w:jc w:val="both"/>
              <w:rPr>
                <w:rFonts w:ascii="宋体"/>
                <w:sz w:val="16"/>
              </w:rPr>
            </w:pPr>
          </w:p>
          <w:p>
            <w:pPr>
              <w:pStyle w:val="33"/>
              <w:ind w:left="116"/>
              <w:jc w:val="both"/>
              <w:rPr>
                <w:sz w:val="22"/>
              </w:rPr>
            </w:pPr>
            <w:r>
              <w:rPr>
                <w:sz w:val="22"/>
              </w:rPr>
              <w:t>15</w:t>
            </w:r>
          </w:p>
        </w:tc>
        <w:tc>
          <w:tcPr>
            <w:tcW w:w="731" w:type="dxa"/>
            <w:vMerge w:val="continue"/>
          </w:tcPr>
          <w:p>
            <w:pPr>
              <w:jc w:val="both"/>
              <w:rPr>
                <w:sz w:val="2"/>
                <w:szCs w:val="2"/>
              </w:rPr>
            </w:pPr>
          </w:p>
        </w:tc>
        <w:tc>
          <w:tcPr>
            <w:tcW w:w="4403" w:type="dxa"/>
          </w:tcPr>
          <w:p>
            <w:pPr>
              <w:pStyle w:val="33"/>
              <w:spacing w:before="18" w:line="271" w:lineRule="auto"/>
              <w:ind w:left="107" w:right="102"/>
              <w:jc w:val="both"/>
              <w:rPr>
                <w:sz w:val="22"/>
              </w:rPr>
            </w:pPr>
            <w:r>
              <w:rPr>
                <w:sz w:val="22"/>
              </w:rPr>
              <w:t xml:space="preserve">建立以场景应用授权为基础的数据共享机 </w:t>
            </w:r>
            <w:r>
              <w:rPr>
                <w:spacing w:val="-1"/>
                <w:sz w:val="22"/>
              </w:rPr>
              <w:t>制，按照清单需求，推动数据资源共享应用</w:t>
            </w:r>
          </w:p>
          <w:p>
            <w:pPr>
              <w:pStyle w:val="33"/>
              <w:spacing w:before="3" w:line="276" w:lineRule="exact"/>
              <w:ind w:left="107" w:right="-15"/>
              <w:jc w:val="both"/>
              <w:rPr>
                <w:spacing w:val="-12"/>
                <w:sz w:val="22"/>
              </w:rPr>
            </w:pPr>
            <w:r>
              <w:rPr>
                <w:spacing w:val="-12"/>
                <w:sz w:val="22"/>
              </w:rPr>
              <w:t>和业务协同，支撑政务服务流程和功能优化，</w:t>
            </w:r>
          </w:p>
          <w:p>
            <w:pPr>
              <w:pStyle w:val="33"/>
              <w:spacing w:before="14" w:line="281" w:lineRule="exact"/>
              <w:ind w:left="107"/>
              <w:jc w:val="both"/>
              <w:rPr>
                <w:sz w:val="22"/>
              </w:rPr>
            </w:pPr>
            <w:r>
              <w:rPr>
                <w:sz w:val="22"/>
              </w:rPr>
              <w:t>实现更多事项“秒批秒办、无感审批”。</w:t>
            </w:r>
          </w:p>
        </w:tc>
        <w:tc>
          <w:tcPr>
            <w:tcW w:w="772" w:type="dxa"/>
            <w:vAlign w:val="center"/>
          </w:tcPr>
          <w:p>
            <w:pPr>
              <w:pStyle w:val="33"/>
              <w:spacing w:before="12"/>
              <w:jc w:val="both"/>
              <w:rPr>
                <w:rFonts w:ascii="宋体"/>
                <w:sz w:val="22"/>
              </w:rPr>
            </w:pPr>
          </w:p>
          <w:p>
            <w:pPr>
              <w:pStyle w:val="33"/>
              <w:spacing w:line="320" w:lineRule="atLeast"/>
              <w:ind w:left="163" w:right="62" w:hanging="27"/>
              <w:jc w:val="center"/>
              <w:rPr>
                <w:sz w:val="22"/>
              </w:rPr>
            </w:pPr>
            <w:r>
              <w:rPr>
                <w:sz w:val="22"/>
              </w:rPr>
              <w:t>12月底前</w:t>
            </w:r>
          </w:p>
        </w:tc>
        <w:tc>
          <w:tcPr>
            <w:tcW w:w="1143" w:type="dxa"/>
            <w:vMerge w:val="continue"/>
            <w:vAlign w:val="center"/>
          </w:tcPr>
          <w:p>
            <w:pPr>
              <w:jc w:val="center"/>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bl>
    <w:p>
      <w:pPr>
        <w:spacing w:after="0"/>
        <w:jc w:val="both"/>
        <w:rPr>
          <w:sz w:val="2"/>
          <w:szCs w:val="2"/>
        </w:rPr>
        <w:sectPr>
          <w:pgSz w:w="11910" w:h="16840"/>
          <w:pgMar w:top="1580" w:right="760" w:bottom="1160" w:left="1460" w:header="0" w:footer="1200" w:gutter="0"/>
          <w:pgNumType w:fmt="decimal"/>
          <w:cols w:space="720" w:num="1"/>
        </w:sect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731"/>
        <w:gridCol w:w="4403"/>
        <w:gridCol w:w="772"/>
        <w:gridCol w:w="1143"/>
        <w:gridCol w:w="1225"/>
        <w:gridCol w:w="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55" w:type="dxa"/>
          </w:tcPr>
          <w:p>
            <w:pPr>
              <w:pStyle w:val="33"/>
              <w:spacing w:before="173"/>
              <w:ind w:left="96" w:right="88"/>
              <w:jc w:val="both"/>
              <w:rPr>
                <w:sz w:val="22"/>
              </w:rPr>
            </w:pPr>
            <w:r>
              <w:rPr>
                <w:sz w:val="22"/>
              </w:rPr>
              <w:t>16</w:t>
            </w:r>
          </w:p>
        </w:tc>
        <w:tc>
          <w:tcPr>
            <w:tcW w:w="731" w:type="dxa"/>
            <w:vMerge w:val="restart"/>
          </w:tcPr>
          <w:p>
            <w:pPr>
              <w:pStyle w:val="33"/>
              <w:spacing w:before="173" w:line="273" w:lineRule="auto"/>
              <w:ind w:left="143" w:right="132" w:firstLine="1"/>
              <w:jc w:val="both"/>
              <w:rPr>
                <w:sz w:val="22"/>
              </w:rPr>
            </w:pPr>
            <w:r>
              <w:rPr>
                <w:sz w:val="22"/>
              </w:rPr>
              <w:t>建设企业个人数字档案</w:t>
            </w:r>
          </w:p>
        </w:tc>
        <w:tc>
          <w:tcPr>
            <w:tcW w:w="4403" w:type="dxa"/>
          </w:tcPr>
          <w:p>
            <w:pPr>
              <w:pStyle w:val="33"/>
              <w:spacing w:before="18" w:line="276" w:lineRule="exact"/>
              <w:ind w:left="107"/>
              <w:jc w:val="both"/>
              <w:rPr>
                <w:sz w:val="22"/>
              </w:rPr>
            </w:pPr>
            <w:r>
              <w:rPr>
                <w:sz w:val="22"/>
              </w:rPr>
              <w:t>按照“一企一档”“一人一档”要求，建立</w:t>
            </w:r>
          </w:p>
          <w:p>
            <w:pPr>
              <w:pStyle w:val="33"/>
              <w:spacing w:before="14"/>
              <w:ind w:left="107" w:right="-15"/>
              <w:jc w:val="both"/>
              <w:rPr>
                <w:sz w:val="22"/>
              </w:rPr>
            </w:pPr>
            <w:r>
              <w:rPr>
                <w:sz w:val="22"/>
              </w:rPr>
              <w:t>企业个人全生命周期数字档案，全面汇聚企</w:t>
            </w:r>
          </w:p>
          <w:p>
            <w:pPr>
              <w:pStyle w:val="33"/>
              <w:spacing w:line="320" w:lineRule="atLeast"/>
              <w:ind w:left="107" w:right="-15"/>
              <w:jc w:val="both"/>
              <w:rPr>
                <w:sz w:val="22"/>
              </w:rPr>
            </w:pPr>
            <w:r>
              <w:rPr>
                <w:spacing w:val="-9"/>
                <w:sz w:val="22"/>
              </w:rPr>
              <w:t xml:space="preserve">业个人全生命周期行为数据，综合分析需求， </w:t>
            </w:r>
            <w:r>
              <w:rPr>
                <w:sz w:val="22"/>
              </w:rPr>
              <w:t>强化大数据综合分析和区块链技术应用。</w:t>
            </w:r>
          </w:p>
        </w:tc>
        <w:tc>
          <w:tcPr>
            <w:tcW w:w="772" w:type="dxa"/>
            <w:vMerge w:val="restart"/>
          </w:tcPr>
          <w:p>
            <w:pPr>
              <w:pStyle w:val="33"/>
              <w:jc w:val="both"/>
              <w:rPr>
                <w:rFonts w:ascii="宋体"/>
                <w:sz w:val="22"/>
              </w:rPr>
            </w:pPr>
          </w:p>
          <w:p>
            <w:pPr>
              <w:pStyle w:val="33"/>
              <w:jc w:val="both"/>
              <w:rPr>
                <w:rFonts w:ascii="宋体"/>
                <w:sz w:val="29"/>
              </w:rPr>
            </w:pPr>
          </w:p>
          <w:p>
            <w:pPr>
              <w:pStyle w:val="33"/>
              <w:spacing w:line="273" w:lineRule="auto"/>
              <w:ind w:left="163" w:right="126" w:firstLine="28"/>
              <w:jc w:val="both"/>
              <w:rPr>
                <w:sz w:val="22"/>
              </w:rPr>
            </w:pPr>
            <w:r>
              <w:rPr>
                <w:spacing w:val="55"/>
                <w:sz w:val="22"/>
              </w:rPr>
              <w:t>9</w:t>
            </w:r>
            <w:r>
              <w:rPr>
                <w:sz w:val="22"/>
              </w:rPr>
              <w:t>月底前</w:t>
            </w:r>
          </w:p>
        </w:tc>
        <w:tc>
          <w:tcPr>
            <w:tcW w:w="1143" w:type="dxa"/>
            <w:vMerge w:val="restart"/>
            <w:vAlign w:val="center"/>
          </w:tcPr>
          <w:p>
            <w:pPr>
              <w:jc w:val="center"/>
            </w:pPr>
          </w:p>
          <w:p>
            <w:pPr>
              <w:jc w:val="center"/>
            </w:pPr>
            <w:r>
              <w:rPr>
                <w:rFonts w:hint="eastAsia"/>
                <w:lang w:val="en-US" w:eastAsia="zh-CN"/>
              </w:rPr>
              <w:t>县</w:t>
            </w:r>
            <w:r>
              <w:t>行政审批服务局、</w:t>
            </w:r>
          </w:p>
          <w:p>
            <w:pPr>
              <w:jc w:val="center"/>
              <w:rPr>
                <w:sz w:val="22"/>
              </w:rPr>
            </w:pPr>
            <w:r>
              <w:rPr>
                <w:rFonts w:hint="eastAsia"/>
                <w:lang w:val="en-US" w:eastAsia="zh-CN"/>
              </w:rPr>
              <w:t>县</w:t>
            </w:r>
            <w:r>
              <w:t>大数据局</w:t>
            </w:r>
          </w:p>
        </w:tc>
        <w:tc>
          <w:tcPr>
            <w:tcW w:w="1225" w:type="dxa"/>
            <w:vMerge w:val="restart"/>
          </w:tcPr>
          <w:p>
            <w:pPr>
              <w:pStyle w:val="33"/>
              <w:spacing w:before="173" w:line="273" w:lineRule="auto"/>
              <w:ind w:left="106" w:right="97" w:hanging="1"/>
              <w:jc w:val="both"/>
              <w:rPr>
                <w:rFonts w:hint="eastAsia"/>
                <w:sz w:val="22"/>
                <w:lang w:val="en-US" w:eastAsia="zh-CN"/>
              </w:rPr>
            </w:pPr>
          </w:p>
          <w:p>
            <w:pPr>
              <w:pStyle w:val="33"/>
              <w:spacing w:before="173" w:line="273" w:lineRule="auto"/>
              <w:ind w:left="106" w:right="97" w:hanging="1"/>
              <w:jc w:val="both"/>
              <w:rPr>
                <w:sz w:val="22"/>
              </w:rPr>
            </w:pPr>
            <w:r>
              <w:rPr>
                <w:rFonts w:hint="eastAsia"/>
                <w:sz w:val="22"/>
                <w:lang w:val="en-US" w:eastAsia="zh-CN"/>
              </w:rPr>
              <w:t>县</w:t>
            </w:r>
            <w:r>
              <w:rPr>
                <w:sz w:val="22"/>
              </w:rPr>
              <w:t xml:space="preserve">直部门单 </w:t>
            </w:r>
            <w:r>
              <w:rPr>
                <w:spacing w:val="-90"/>
                <w:sz w:val="22"/>
              </w:rPr>
              <w:t>位</w:t>
            </w:r>
            <w:r>
              <w:rPr>
                <w:sz w:val="22"/>
              </w:rPr>
              <w:t>（</w:t>
            </w:r>
            <w:r>
              <w:rPr>
                <w:spacing w:val="-6"/>
                <w:sz w:val="22"/>
              </w:rPr>
              <w:t>具体名</w:t>
            </w:r>
            <w:r>
              <w:rPr>
                <w:sz w:val="22"/>
              </w:rPr>
              <w:t>单见附件 1、2）</w:t>
            </w: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455" w:type="dxa"/>
          </w:tcPr>
          <w:p>
            <w:pPr>
              <w:pStyle w:val="33"/>
              <w:jc w:val="both"/>
              <w:rPr>
                <w:rFonts w:ascii="宋体"/>
                <w:sz w:val="22"/>
              </w:rPr>
            </w:pPr>
          </w:p>
          <w:p>
            <w:pPr>
              <w:pStyle w:val="33"/>
              <w:spacing w:before="11"/>
              <w:jc w:val="both"/>
              <w:rPr>
                <w:rFonts w:ascii="宋体"/>
                <w:sz w:val="16"/>
              </w:rPr>
            </w:pPr>
          </w:p>
          <w:p>
            <w:pPr>
              <w:pStyle w:val="33"/>
              <w:ind w:left="96" w:right="88"/>
              <w:jc w:val="both"/>
              <w:rPr>
                <w:sz w:val="22"/>
              </w:rPr>
            </w:pPr>
            <w:r>
              <w:rPr>
                <w:sz w:val="22"/>
              </w:rPr>
              <w:t>17</w:t>
            </w:r>
          </w:p>
        </w:tc>
        <w:tc>
          <w:tcPr>
            <w:tcW w:w="731" w:type="dxa"/>
            <w:vMerge w:val="continue"/>
          </w:tcPr>
          <w:p>
            <w:pPr>
              <w:jc w:val="both"/>
              <w:rPr>
                <w:sz w:val="2"/>
                <w:szCs w:val="2"/>
              </w:rPr>
            </w:pPr>
          </w:p>
        </w:tc>
        <w:tc>
          <w:tcPr>
            <w:tcW w:w="4403" w:type="dxa"/>
          </w:tcPr>
          <w:p>
            <w:pPr>
              <w:pStyle w:val="33"/>
              <w:spacing w:before="18" w:line="273" w:lineRule="auto"/>
              <w:ind w:left="107" w:right="102"/>
              <w:jc w:val="both"/>
              <w:rPr>
                <w:sz w:val="22"/>
              </w:rPr>
            </w:pPr>
            <w:r>
              <w:rPr>
                <w:sz w:val="22"/>
              </w:rPr>
              <w:t>完善“政企直通车”平台功能，完善提升企业库、政策库、事项库，根据企业类型自动匹配服务、资金、补贴、税收等政策，实现</w:t>
            </w:r>
          </w:p>
          <w:p>
            <w:pPr>
              <w:pStyle w:val="33"/>
              <w:spacing w:line="277" w:lineRule="exact"/>
              <w:ind w:left="107"/>
              <w:jc w:val="both"/>
              <w:rPr>
                <w:sz w:val="22"/>
              </w:rPr>
            </w:pPr>
            <w:r>
              <w:rPr>
                <w:sz w:val="22"/>
              </w:rPr>
              <w:t>各类惠企政策“精准推送、智能兑现”。</w:t>
            </w:r>
          </w:p>
        </w:tc>
        <w:tc>
          <w:tcPr>
            <w:tcW w:w="772" w:type="dxa"/>
            <w:vMerge w:val="continue"/>
          </w:tcPr>
          <w:p>
            <w:pPr>
              <w:jc w:val="both"/>
              <w:rPr>
                <w:sz w:val="2"/>
                <w:szCs w:val="2"/>
              </w:rPr>
            </w:pPr>
          </w:p>
        </w:tc>
        <w:tc>
          <w:tcPr>
            <w:tcW w:w="1143" w:type="dxa"/>
            <w:vMerge w:val="continue"/>
          </w:tcPr>
          <w:p>
            <w:pPr>
              <w:jc w:val="both"/>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55" w:type="dxa"/>
          </w:tcPr>
          <w:p>
            <w:pPr>
              <w:pStyle w:val="33"/>
              <w:jc w:val="both"/>
              <w:rPr>
                <w:rFonts w:ascii="宋体"/>
                <w:sz w:val="26"/>
              </w:rPr>
            </w:pPr>
          </w:p>
          <w:p>
            <w:pPr>
              <w:pStyle w:val="33"/>
              <w:ind w:left="96" w:right="88"/>
              <w:jc w:val="both"/>
              <w:rPr>
                <w:sz w:val="22"/>
              </w:rPr>
            </w:pPr>
          </w:p>
          <w:p>
            <w:pPr>
              <w:pStyle w:val="33"/>
              <w:ind w:left="96" w:right="88"/>
              <w:jc w:val="both"/>
              <w:rPr>
                <w:sz w:val="22"/>
              </w:rPr>
            </w:pPr>
            <w:r>
              <w:rPr>
                <w:sz w:val="22"/>
              </w:rPr>
              <w:t>18</w:t>
            </w:r>
          </w:p>
        </w:tc>
        <w:tc>
          <w:tcPr>
            <w:tcW w:w="731" w:type="dxa"/>
            <w:vMerge w:val="restart"/>
          </w:tcPr>
          <w:p>
            <w:pPr>
              <w:pStyle w:val="33"/>
              <w:jc w:val="both"/>
              <w:rPr>
                <w:rFonts w:ascii="宋体"/>
                <w:sz w:val="26"/>
              </w:rPr>
            </w:pPr>
          </w:p>
          <w:p>
            <w:pPr>
              <w:pStyle w:val="33"/>
              <w:spacing w:line="273" w:lineRule="auto"/>
              <w:ind w:left="144" w:right="132"/>
              <w:jc w:val="both"/>
              <w:rPr>
                <w:sz w:val="22"/>
              </w:rPr>
            </w:pPr>
            <w:r>
              <w:rPr>
                <w:sz w:val="22"/>
              </w:rPr>
              <w:t>完善“好差</w:t>
            </w:r>
          </w:p>
          <w:p>
            <w:pPr>
              <w:pStyle w:val="33"/>
              <w:spacing w:line="278" w:lineRule="exact"/>
              <w:jc w:val="both"/>
              <w:rPr>
                <w:sz w:val="22"/>
              </w:rPr>
            </w:pPr>
            <w:r>
              <w:rPr>
                <w:sz w:val="22"/>
              </w:rPr>
              <w:t>评”</w:t>
            </w:r>
          </w:p>
          <w:p>
            <w:pPr>
              <w:pStyle w:val="33"/>
              <w:spacing w:before="8"/>
              <w:ind w:left="143"/>
              <w:jc w:val="both"/>
              <w:rPr>
                <w:sz w:val="22"/>
              </w:rPr>
            </w:pPr>
            <w:r>
              <w:rPr>
                <w:sz w:val="22"/>
              </w:rPr>
              <w:t>体系</w:t>
            </w:r>
          </w:p>
        </w:tc>
        <w:tc>
          <w:tcPr>
            <w:tcW w:w="4403" w:type="dxa"/>
            <w:vMerge w:val="restart"/>
          </w:tcPr>
          <w:p>
            <w:pPr>
              <w:pStyle w:val="33"/>
              <w:spacing w:before="18" w:line="276" w:lineRule="exact"/>
              <w:ind w:left="107"/>
              <w:jc w:val="both"/>
              <w:rPr>
                <w:sz w:val="22"/>
              </w:rPr>
            </w:pPr>
            <w:r>
              <w:rPr>
                <w:sz w:val="22"/>
              </w:rPr>
              <w:t>将“好差评”作为收集企业群众反馈的重要</w:t>
            </w:r>
          </w:p>
          <w:p>
            <w:pPr>
              <w:pStyle w:val="33"/>
              <w:spacing w:before="14" w:line="271" w:lineRule="auto"/>
              <w:ind w:left="107" w:right="-15"/>
              <w:jc w:val="both"/>
              <w:rPr>
                <w:sz w:val="22"/>
              </w:rPr>
            </w:pPr>
            <w:r>
              <w:rPr>
                <w:sz w:val="22"/>
              </w:rPr>
              <w:t>途径，不断完善政务服务“好差评”制度体系，引导企业群众通过线上二维码、线下评</w:t>
            </w:r>
            <w:r>
              <w:rPr>
                <w:spacing w:val="-10"/>
                <w:sz w:val="22"/>
              </w:rPr>
              <w:t>价器等渠道进行服务评价，实现“一次一评、</w:t>
            </w:r>
          </w:p>
          <w:p>
            <w:pPr>
              <w:pStyle w:val="33"/>
              <w:spacing w:before="4" w:line="281" w:lineRule="exact"/>
              <w:ind w:left="107"/>
              <w:jc w:val="both"/>
              <w:rPr>
                <w:sz w:val="22"/>
              </w:rPr>
            </w:pPr>
            <w:r>
              <w:rPr>
                <w:sz w:val="22"/>
              </w:rPr>
              <w:t>一事一评”。</w:t>
            </w:r>
          </w:p>
        </w:tc>
        <w:tc>
          <w:tcPr>
            <w:tcW w:w="772" w:type="dxa"/>
            <w:vMerge w:val="restart"/>
          </w:tcPr>
          <w:p>
            <w:pPr>
              <w:pStyle w:val="33"/>
              <w:spacing w:before="173" w:line="273" w:lineRule="auto"/>
              <w:ind w:right="153"/>
              <w:jc w:val="both"/>
              <w:rPr>
                <w:sz w:val="22"/>
              </w:rPr>
            </w:pPr>
          </w:p>
          <w:p>
            <w:pPr>
              <w:pStyle w:val="33"/>
              <w:spacing w:before="173" w:line="273" w:lineRule="auto"/>
              <w:ind w:right="153"/>
              <w:jc w:val="both"/>
              <w:rPr>
                <w:sz w:val="22"/>
              </w:rPr>
            </w:pPr>
          </w:p>
          <w:p>
            <w:pPr>
              <w:pStyle w:val="33"/>
              <w:spacing w:before="173" w:line="273" w:lineRule="auto"/>
              <w:ind w:left="163" w:right="153" w:firstLine="1"/>
              <w:jc w:val="both"/>
              <w:rPr>
                <w:sz w:val="22"/>
              </w:rPr>
            </w:pPr>
            <w:r>
              <w:rPr>
                <w:sz w:val="22"/>
              </w:rPr>
              <w:t>长期推进</w:t>
            </w:r>
          </w:p>
          <w:p>
            <w:pPr>
              <w:pStyle w:val="33"/>
              <w:spacing w:before="39" w:line="276" w:lineRule="exact"/>
              <w:ind w:left="163"/>
              <w:jc w:val="both"/>
              <w:rPr>
                <w:sz w:val="22"/>
              </w:rPr>
            </w:pPr>
          </w:p>
        </w:tc>
        <w:tc>
          <w:tcPr>
            <w:tcW w:w="1143" w:type="dxa"/>
            <w:vMerge w:val="restart"/>
          </w:tcPr>
          <w:p>
            <w:pPr>
              <w:pStyle w:val="33"/>
              <w:jc w:val="both"/>
              <w:rPr>
                <w:rFonts w:ascii="宋体"/>
                <w:sz w:val="22"/>
              </w:rPr>
            </w:pPr>
          </w:p>
          <w:p>
            <w:pPr>
              <w:pStyle w:val="33"/>
              <w:jc w:val="both"/>
              <w:rPr>
                <w:rFonts w:ascii="宋体"/>
                <w:sz w:val="22"/>
              </w:rPr>
            </w:pPr>
          </w:p>
          <w:p>
            <w:pPr>
              <w:pStyle w:val="33"/>
              <w:spacing w:before="6"/>
              <w:jc w:val="both"/>
              <w:rPr>
                <w:rFonts w:ascii="宋体"/>
                <w:sz w:val="19"/>
              </w:rPr>
            </w:pPr>
          </w:p>
          <w:p>
            <w:pPr>
              <w:pStyle w:val="33"/>
              <w:spacing w:line="273" w:lineRule="auto"/>
              <w:ind w:left="129" w:right="121"/>
              <w:jc w:val="both"/>
              <w:rPr>
                <w:sz w:val="22"/>
              </w:rPr>
            </w:pPr>
            <w:r>
              <w:rPr>
                <w:rFonts w:hint="eastAsia"/>
                <w:sz w:val="22"/>
                <w:lang w:val="en-US" w:eastAsia="zh-CN"/>
              </w:rPr>
              <w:t>县</w:t>
            </w:r>
            <w:r>
              <w:rPr>
                <w:sz w:val="22"/>
              </w:rPr>
              <w:t>行政审批服务局</w:t>
            </w:r>
          </w:p>
        </w:tc>
        <w:tc>
          <w:tcPr>
            <w:tcW w:w="1225" w:type="dxa"/>
            <w:vMerge w:val="restart"/>
          </w:tcPr>
          <w:p>
            <w:pPr>
              <w:pStyle w:val="33"/>
              <w:spacing w:line="273" w:lineRule="auto"/>
              <w:ind w:right="97"/>
              <w:jc w:val="both"/>
              <w:rPr>
                <w:rFonts w:hint="eastAsia"/>
                <w:sz w:val="22"/>
                <w:lang w:val="en-US" w:eastAsia="zh-CN"/>
              </w:rPr>
            </w:pPr>
          </w:p>
          <w:p>
            <w:pPr>
              <w:pStyle w:val="33"/>
              <w:spacing w:line="273" w:lineRule="auto"/>
              <w:ind w:right="97"/>
              <w:jc w:val="both"/>
              <w:rPr>
                <w:rFonts w:hint="eastAsia"/>
                <w:sz w:val="22"/>
                <w:lang w:val="en-US" w:eastAsia="zh-CN"/>
              </w:rPr>
            </w:pPr>
          </w:p>
          <w:p>
            <w:pPr>
              <w:pStyle w:val="33"/>
              <w:spacing w:line="273" w:lineRule="auto"/>
              <w:ind w:right="97"/>
              <w:jc w:val="both"/>
              <w:rPr>
                <w:sz w:val="22"/>
              </w:rPr>
            </w:pPr>
            <w:r>
              <w:rPr>
                <w:rFonts w:hint="eastAsia"/>
                <w:sz w:val="22"/>
                <w:lang w:val="en-US" w:eastAsia="zh-CN"/>
              </w:rPr>
              <w:t>县</w:t>
            </w:r>
            <w:r>
              <w:rPr>
                <w:sz w:val="22"/>
              </w:rPr>
              <w:t xml:space="preserve">直部门单 </w:t>
            </w:r>
            <w:r>
              <w:t>位（具体名单见附件</w:t>
            </w:r>
            <w:r>
              <w:rPr>
                <w:sz w:val="22"/>
              </w:rPr>
              <w:t>1、2）</w:t>
            </w:r>
          </w:p>
        </w:tc>
        <w:tc>
          <w:tcPr>
            <w:tcW w:w="731" w:type="dxa"/>
            <w:vMerge w:val="restart"/>
          </w:tcPr>
          <w:p>
            <w:pPr>
              <w:pStyle w:val="33"/>
              <w:jc w:val="both"/>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455" w:type="dxa"/>
          </w:tcPr>
          <w:p>
            <w:pPr>
              <w:pStyle w:val="33"/>
              <w:spacing w:before="179"/>
              <w:ind w:left="96" w:right="88"/>
              <w:jc w:val="both"/>
              <w:rPr>
                <w:sz w:val="22"/>
              </w:rPr>
            </w:pPr>
          </w:p>
          <w:p>
            <w:pPr>
              <w:pStyle w:val="33"/>
              <w:spacing w:before="179"/>
              <w:ind w:left="96" w:right="88"/>
              <w:jc w:val="both"/>
              <w:rPr>
                <w:sz w:val="22"/>
              </w:rPr>
            </w:pPr>
            <w:r>
              <w:rPr>
                <w:sz w:val="22"/>
              </w:rPr>
              <w:t>19</w:t>
            </w:r>
          </w:p>
        </w:tc>
        <w:tc>
          <w:tcPr>
            <w:tcW w:w="731" w:type="dxa"/>
            <w:vMerge w:val="continue"/>
          </w:tcPr>
          <w:p>
            <w:pPr>
              <w:jc w:val="both"/>
              <w:rPr>
                <w:sz w:val="2"/>
                <w:szCs w:val="2"/>
              </w:rPr>
            </w:pPr>
          </w:p>
        </w:tc>
        <w:tc>
          <w:tcPr>
            <w:tcW w:w="4403" w:type="dxa"/>
          </w:tcPr>
          <w:p>
            <w:pPr>
              <w:pStyle w:val="33"/>
              <w:spacing w:before="18" w:line="271" w:lineRule="exact"/>
              <w:ind w:left="107"/>
              <w:jc w:val="both"/>
              <w:rPr>
                <w:sz w:val="22"/>
              </w:rPr>
            </w:pPr>
            <w:r>
              <w:rPr>
                <w:sz w:val="22"/>
              </w:rPr>
              <w:t>加强“好差评”数据分析研判，及时发现问</w:t>
            </w:r>
          </w:p>
          <w:p>
            <w:pPr>
              <w:jc w:val="both"/>
            </w:pPr>
            <w:r>
              <w:t>题、以评促改，对收集到的差评，按照“1、</w:t>
            </w:r>
          </w:p>
          <w:p>
            <w:pPr>
              <w:jc w:val="both"/>
            </w:pPr>
            <w:r>
              <w:t>5、15”时限做好问题整改，确保有诉必应、</w:t>
            </w:r>
          </w:p>
          <w:p>
            <w:pPr>
              <w:pStyle w:val="33"/>
              <w:spacing w:before="13" w:line="281" w:lineRule="exact"/>
              <w:ind w:left="107"/>
              <w:jc w:val="both"/>
              <w:rPr>
                <w:sz w:val="22"/>
              </w:rPr>
            </w:pPr>
            <w:r>
              <w:rPr>
                <w:sz w:val="22"/>
              </w:rPr>
              <w:t>接诉即办。</w:t>
            </w:r>
          </w:p>
        </w:tc>
        <w:tc>
          <w:tcPr>
            <w:tcW w:w="772" w:type="dxa"/>
            <w:vMerge w:val="continue"/>
          </w:tcPr>
          <w:p>
            <w:pPr>
              <w:pStyle w:val="33"/>
              <w:jc w:val="both"/>
              <w:rPr>
                <w:rFonts w:ascii="Times New Roman"/>
                <w:sz w:val="22"/>
              </w:rPr>
            </w:pPr>
          </w:p>
        </w:tc>
        <w:tc>
          <w:tcPr>
            <w:tcW w:w="1143" w:type="dxa"/>
            <w:vMerge w:val="continue"/>
          </w:tcPr>
          <w:p>
            <w:pPr>
              <w:jc w:val="both"/>
              <w:rPr>
                <w:sz w:val="2"/>
                <w:szCs w:val="2"/>
              </w:rPr>
            </w:pPr>
          </w:p>
        </w:tc>
        <w:tc>
          <w:tcPr>
            <w:tcW w:w="1225" w:type="dxa"/>
            <w:vMerge w:val="continue"/>
          </w:tcPr>
          <w:p>
            <w:pPr>
              <w:jc w:val="both"/>
              <w:rPr>
                <w:sz w:val="2"/>
                <w:szCs w:val="2"/>
              </w:rPr>
            </w:pPr>
          </w:p>
        </w:tc>
        <w:tc>
          <w:tcPr>
            <w:tcW w:w="731" w:type="dxa"/>
          </w:tcPr>
          <w:p>
            <w:pPr>
              <w:pStyle w:val="33"/>
              <w:jc w:val="both"/>
              <w:rPr>
                <w:rFonts w:ascii="Times New Roman"/>
                <w:sz w:val="22"/>
              </w:rPr>
            </w:pPr>
          </w:p>
        </w:tc>
      </w:tr>
    </w:tbl>
    <w:p>
      <w:pPr>
        <w:rPr>
          <w:sz w:val="20"/>
        </w:rPr>
      </w:pPr>
      <w:r>
        <w:rPr>
          <w:sz w:val="20"/>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郯政办字〔</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57号</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关于同意建设临沂电子科技职业学院的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通  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各乡镇人民政府、郯城街道办事处，县政府各部门，科级以上事业单位，省、市直驻郯各单位，郯城经济开发区管委会，马陵山景区管委会，新村银杏产业开发区管委会：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为加快建设职业教育创新发展高地，提升职业教育服务经济发展能力，经县政府研究，同意建设临沂电子科技职业学院。同时，将建设中的郯城县中等职业技术教育中心学校（临沂市电子科技学校）新校区项目移交给临沂电子科技职业学院使用，郯城县中等职业技术教育中心学校老校区不再开发，继续使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2021年8月23日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（此件公开发布）</w:t>
      </w:r>
    </w:p>
    <w:p>
      <w:pPr>
        <w:rPr>
          <w:sz w:val="20"/>
        </w:rPr>
      </w:pPr>
      <w:r>
        <w:rPr>
          <w:sz w:val="20"/>
        </w:rPr>
        <w:br w:type="page"/>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both"/>
        <w:textAlignment w:val="top"/>
        <w:rPr>
          <w:rFonts w:hint="eastAsia" w:ascii="黑体" w:hAnsi="黑体" w:eastAsia="黑体" w:cs="黑体"/>
          <w:i w:val="0"/>
          <w:caps w:val="0"/>
          <w:color w:val="333333"/>
          <w:spacing w:val="0"/>
          <w:sz w:val="32"/>
          <w:szCs w:val="32"/>
          <w:shd w:val="clear" w:color="auto" w:fill="FFFFFF"/>
          <w:lang w:val="en-US" w:eastAsia="zh-CN"/>
        </w:rPr>
      </w:pPr>
      <w:r>
        <w:rPr>
          <w:rFonts w:hint="eastAsia" w:ascii="黑体" w:hAnsi="黑体" w:eastAsia="黑体" w:cs="黑体"/>
          <w:i w:val="0"/>
          <w:caps w:val="0"/>
          <w:color w:val="333333"/>
          <w:spacing w:val="0"/>
          <w:sz w:val="32"/>
          <w:szCs w:val="32"/>
          <w:shd w:val="clear" w:color="auto" w:fill="FFFFFF"/>
          <w:lang w:val="en-US" w:eastAsia="zh-CN"/>
        </w:rPr>
        <w:t>TCDR-2021-002001</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小标宋简体" w:hAnsi="Times New Roman" w:eastAsia="方正小标宋简体"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hint="eastAsia" w:ascii="仿宋_GB2312" w:hAnsi="Times New Roman" w:eastAsia="仿宋_GB2312" w:cs="Times New Roman"/>
          <w:sz w:val="32"/>
          <w:szCs w:val="32"/>
        </w:rPr>
      </w:pPr>
    </w:p>
    <w:p>
      <w:pPr>
        <w:pageBreakBefore w:val="0"/>
        <w:kinsoku/>
        <w:wordWrap/>
        <w:overflowPunct/>
        <w:topLinePunct w:val="0"/>
        <w:autoSpaceDE/>
        <w:autoSpaceDN/>
        <w:bidi w:val="0"/>
        <w:adjustRightInd/>
        <w:snapToGrid/>
        <w:spacing w:line="600" w:lineRule="exact"/>
        <w:jc w:val="center"/>
        <w:rPr>
          <w:rFonts w:ascii="仿宋_GB2312" w:hAnsi="Times New Roman" w:eastAsia="仿宋_GB2312" w:cs="Times New Roman"/>
          <w:sz w:val="32"/>
          <w:szCs w:val="32"/>
        </w:rPr>
      </w:pPr>
      <w:r>
        <w:rPr>
          <w:rFonts w:hint="eastAsia" w:ascii="仿宋_GB2312" w:hAnsi="Times New Roman" w:eastAsia="仿宋_GB2312" w:cs="Times New Roman"/>
          <w:sz w:val="32"/>
          <w:szCs w:val="32"/>
        </w:rPr>
        <w:t>郯政办字〔2021〕</w:t>
      </w:r>
      <w:r>
        <w:rPr>
          <w:rFonts w:hint="eastAsia" w:ascii="仿宋_GB2312" w:hAnsi="Times New Roman" w:eastAsia="仿宋_GB2312" w:cs="Times New Roman"/>
          <w:sz w:val="32"/>
          <w:szCs w:val="32"/>
          <w:lang w:val="en-US" w:eastAsia="zh-CN"/>
        </w:rPr>
        <w:t>58</w:t>
      </w:r>
      <w:r>
        <w:rPr>
          <w:rFonts w:hint="eastAsia" w:ascii="仿宋_GB2312" w:hAnsi="Times New Roman" w:eastAsia="仿宋_GB2312" w:cs="Times New Roman"/>
          <w:sz w:val="32"/>
          <w:szCs w:val="32"/>
        </w:rPr>
        <w:t>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333333"/>
          <w:spacing w:val="0"/>
          <w:sz w:val="44"/>
          <w:szCs w:val="44"/>
          <w:shd w:val="clear" w:color="auto"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pP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郯城县人民政府办公室</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关于印发《</w:t>
      </w:r>
      <w:r>
        <w:rPr>
          <w:rFonts w:hint="eastAsia" w:ascii="方正小标宋简体" w:eastAsia="方正小标宋简体"/>
          <w:sz w:val="44"/>
          <w:szCs w:val="44"/>
        </w:rPr>
        <w:t>郯城县烟草制品零售点布局</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i w:val="0"/>
          <w:caps w:val="0"/>
          <w:color w:val="auto"/>
          <w:spacing w:val="0"/>
          <w:sz w:val="44"/>
          <w:szCs w:val="44"/>
          <w:shd w:val="clear" w:color="auto" w:fill="FFFFFF"/>
        </w:rPr>
      </w:pPr>
      <w:r>
        <w:rPr>
          <w:rFonts w:hint="eastAsia" w:ascii="方正小标宋简体" w:eastAsia="方正小标宋简体"/>
          <w:sz w:val="44"/>
          <w:szCs w:val="44"/>
        </w:rPr>
        <w:t>管理规定</w:t>
      </w:r>
      <w:r>
        <w:rPr>
          <w:rFonts w:hint="eastAsia" w:ascii="方正小标宋简体" w:hAnsi="方正小标宋简体" w:eastAsia="方正小标宋简体" w:cs="方正小标宋简体"/>
          <w:i w:val="0"/>
          <w:caps w:val="0"/>
          <w:color w:val="auto"/>
          <w:spacing w:val="0"/>
          <w:sz w:val="44"/>
          <w:szCs w:val="44"/>
          <w:shd w:val="clear" w:color="auto" w:fill="FFFFFF"/>
          <w:lang w:val="en-US" w:eastAsia="zh-CN"/>
        </w:rPr>
        <w:t>》的通知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宋体" w:hAnsi="宋体" w:eastAsia="宋体" w:cs="宋体"/>
          <w:i w:val="0"/>
          <w:caps w:val="0"/>
          <w:color w:val="333333"/>
          <w:spacing w:val="0"/>
          <w:sz w:val="32"/>
          <w:szCs w:val="32"/>
          <w:shd w:val="clear" w:color="auto"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color="auto" w:fill="FFFFFF"/>
        </w:rPr>
        <w:t>各乡镇</w:t>
      </w:r>
      <w:r>
        <w:rPr>
          <w:rFonts w:hint="eastAsia" w:ascii="仿宋_GB2312" w:hAnsi="仿宋_GB2312" w:eastAsia="仿宋_GB2312" w:cs="仿宋_GB2312"/>
          <w:i w:val="0"/>
          <w:caps w:val="0"/>
          <w:color w:val="auto"/>
          <w:spacing w:val="0"/>
          <w:sz w:val="32"/>
          <w:szCs w:val="32"/>
          <w:shd w:val="clear" w:color="auto" w:fill="FFFFFF"/>
          <w:lang w:eastAsia="zh-CN"/>
        </w:rPr>
        <w:t>（街道）</w:t>
      </w:r>
      <w:r>
        <w:rPr>
          <w:rFonts w:hint="eastAsia" w:ascii="仿宋_GB2312" w:hAnsi="仿宋_GB2312" w:eastAsia="仿宋_GB2312" w:cs="仿宋_GB2312"/>
          <w:i w:val="0"/>
          <w:caps w:val="0"/>
          <w:color w:val="auto"/>
          <w:spacing w:val="0"/>
          <w:sz w:val="32"/>
          <w:szCs w:val="32"/>
          <w:shd w:val="clear" w:color="auto" w:fill="FFFFFF"/>
        </w:rPr>
        <w:t>人民政府</w:t>
      </w:r>
      <w:r>
        <w:rPr>
          <w:rFonts w:hint="eastAsia" w:ascii="仿宋_GB2312" w:hAnsi="仿宋_GB2312" w:eastAsia="仿宋_GB2312" w:cs="仿宋_GB2312"/>
          <w:i w:val="0"/>
          <w:caps w:val="0"/>
          <w:color w:val="auto"/>
          <w:spacing w:val="0"/>
          <w:sz w:val="32"/>
          <w:szCs w:val="32"/>
          <w:shd w:val="clear" w:color="auto" w:fill="FFFFFF"/>
          <w:lang w:eastAsia="zh-CN"/>
        </w:rPr>
        <w:t>（办事处）</w:t>
      </w:r>
      <w:r>
        <w:rPr>
          <w:rFonts w:hint="eastAsia" w:ascii="仿宋_GB2312" w:hAnsi="仿宋_GB2312" w:eastAsia="仿宋_GB2312" w:cs="仿宋_GB2312"/>
          <w:i w:val="0"/>
          <w:caps w:val="0"/>
          <w:color w:val="auto"/>
          <w:spacing w:val="0"/>
          <w:sz w:val="32"/>
          <w:szCs w:val="32"/>
          <w:shd w:val="clear" w:color="auto" w:fill="FFFFFF"/>
        </w:rPr>
        <w:t>，</w:t>
      </w:r>
      <w:r>
        <w:rPr>
          <w:rFonts w:hint="eastAsia" w:ascii="仿宋_GB2312" w:hAnsi="仿宋_GB2312" w:eastAsia="仿宋_GB2312" w:cs="仿宋_GB2312"/>
          <w:i w:val="0"/>
          <w:caps w:val="0"/>
          <w:color w:val="auto"/>
          <w:spacing w:val="0"/>
          <w:sz w:val="32"/>
          <w:szCs w:val="32"/>
          <w:shd w:val="clear" w:color="auto" w:fill="FFFFFF"/>
          <w:lang w:val="en-US" w:eastAsia="zh-CN"/>
        </w:rPr>
        <w:t>新村银杏产业开发区，</w:t>
      </w:r>
      <w:r>
        <w:rPr>
          <w:rFonts w:hint="eastAsia" w:ascii="仿宋_GB2312" w:hAnsi="仿宋_GB2312" w:eastAsia="仿宋_GB2312" w:cs="仿宋_GB2312"/>
          <w:i w:val="0"/>
          <w:caps w:val="0"/>
          <w:color w:val="auto"/>
          <w:spacing w:val="0"/>
          <w:sz w:val="32"/>
          <w:szCs w:val="32"/>
          <w:shd w:val="clear" w:color="auto" w:fill="FFFFFF"/>
        </w:rPr>
        <w:t>县</w:t>
      </w:r>
      <w:r>
        <w:rPr>
          <w:rFonts w:hint="eastAsia" w:ascii="仿宋_GB2312" w:hAnsi="仿宋_GB2312" w:eastAsia="仿宋_GB2312" w:cs="仿宋_GB2312"/>
          <w:i w:val="0"/>
          <w:caps w:val="0"/>
          <w:color w:val="auto"/>
          <w:spacing w:val="0"/>
          <w:sz w:val="32"/>
          <w:szCs w:val="32"/>
          <w:shd w:val="clear" w:color="auto" w:fill="FFFFFF"/>
          <w:lang w:eastAsia="zh-CN"/>
        </w:rPr>
        <w:t>直</w:t>
      </w:r>
      <w:r>
        <w:rPr>
          <w:rFonts w:hint="eastAsia" w:ascii="仿宋_GB2312" w:hAnsi="仿宋_GB2312" w:eastAsia="仿宋_GB2312" w:cs="仿宋_GB2312"/>
          <w:i w:val="0"/>
          <w:caps w:val="0"/>
          <w:color w:val="auto"/>
          <w:spacing w:val="0"/>
          <w:sz w:val="32"/>
          <w:szCs w:val="32"/>
          <w:shd w:val="clear" w:color="auto" w:fill="FFFFFF"/>
        </w:rPr>
        <w:t>有关部门：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textAlignment w:val="top"/>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color="auto" w:fill="FFFFFF"/>
        </w:rPr>
        <w:t>　　</w:t>
      </w:r>
      <w:r>
        <w:rPr>
          <w:rFonts w:hint="eastAsia" w:ascii="仿宋_GB2312" w:hAnsi="仿宋_GB2312" w:eastAsia="仿宋_GB2312" w:cs="仿宋_GB2312"/>
          <w:i w:val="0"/>
          <w:caps w:val="0"/>
          <w:color w:val="auto"/>
          <w:spacing w:val="0"/>
          <w:sz w:val="32"/>
          <w:szCs w:val="32"/>
          <w:shd w:val="clear" w:color="auto" w:fill="FFFFFF"/>
          <w:lang w:eastAsia="zh-CN"/>
        </w:rPr>
        <w:t>现将</w:t>
      </w:r>
      <w:r>
        <w:rPr>
          <w:rFonts w:hint="eastAsia" w:ascii="仿宋_GB2312" w:hAnsi="仿宋_GB2312" w:eastAsia="仿宋_GB2312" w:cs="仿宋_GB2312"/>
          <w:i w:val="0"/>
          <w:caps w:val="0"/>
          <w:color w:val="auto"/>
          <w:spacing w:val="0"/>
          <w:sz w:val="32"/>
          <w:szCs w:val="32"/>
          <w:shd w:val="clear" w:color="auto" w:fill="FFFFFF"/>
        </w:rPr>
        <w:t>《郯城县烟草制品零售点布局管理规定》印发给你们，请结合实际，认真贯彻执行。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right"/>
        <w:textAlignment w:val="top"/>
        <w:rPr>
          <w:rFonts w:hint="eastAsia" w:ascii="仿宋_GB2312" w:hAnsi="仿宋_GB2312" w:eastAsia="仿宋_GB2312" w:cs="仿宋_GB2312"/>
          <w:i w:val="0"/>
          <w:caps w:val="0"/>
          <w:color w:val="auto"/>
          <w:spacing w:val="0"/>
          <w:sz w:val="32"/>
          <w:szCs w:val="32"/>
          <w:shd w:val="clear" w:color="auto"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仿宋_GB2312" w:hAnsi="仿宋_GB2312" w:eastAsia="仿宋_GB2312" w:cs="仿宋_GB2312"/>
          <w:i w:val="0"/>
          <w:caps w:val="0"/>
          <w:color w:val="auto"/>
          <w:spacing w:val="0"/>
          <w:sz w:val="32"/>
          <w:szCs w:val="32"/>
          <w:shd w:val="clear" w:color="auto" w:fill="FFFFFF"/>
        </w:rPr>
      </w:pPr>
      <w:r>
        <w:rPr>
          <w:rFonts w:hint="eastAsia" w:ascii="仿宋_GB2312" w:hAnsi="仿宋_GB2312" w:eastAsia="仿宋_GB2312" w:cs="仿宋_GB2312"/>
          <w:sz w:val="32"/>
          <w:szCs w:val="32"/>
          <w:lang w:val="en-US" w:eastAsia="zh-CN"/>
        </w:rPr>
        <w:t xml:space="preserve">                              郯城县人民政府办公室</w:t>
      </w:r>
      <w:r>
        <w:rPr>
          <w:rFonts w:hint="eastAsia" w:ascii="仿宋_GB2312" w:hAnsi="仿宋_GB2312" w:eastAsia="仿宋_GB2312" w:cs="仿宋_GB2312"/>
          <w:i w:val="0"/>
          <w:caps w:val="0"/>
          <w:color w:val="auto"/>
          <w:spacing w:val="0"/>
          <w:sz w:val="32"/>
          <w:szCs w:val="32"/>
          <w:shd w:val="clear" w:color="auto" w:fill="FFFFFF"/>
        </w:rPr>
        <w: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color="auto" w:fill="FFFFFF"/>
          <w:lang w:val="en-US" w:eastAsia="zh-CN"/>
        </w:rPr>
        <w:t xml:space="preserve">                               </w:t>
      </w:r>
      <w:r>
        <w:rPr>
          <w:rFonts w:hint="eastAsia" w:ascii="仿宋_GB2312" w:hAnsi="仿宋_GB2312" w:eastAsia="仿宋_GB2312" w:cs="仿宋_GB2312"/>
          <w:i w:val="0"/>
          <w:caps w:val="0"/>
          <w:color w:val="auto"/>
          <w:spacing w:val="0"/>
          <w:sz w:val="32"/>
          <w:szCs w:val="32"/>
          <w:shd w:val="clear" w:color="auto" w:fill="FFFFFF"/>
        </w:rPr>
        <w:t>202</w:t>
      </w:r>
      <w:r>
        <w:rPr>
          <w:rFonts w:hint="eastAsia" w:ascii="仿宋_GB2312" w:hAnsi="仿宋_GB2312" w:eastAsia="仿宋_GB2312" w:cs="仿宋_GB2312"/>
          <w:i w:val="0"/>
          <w:caps w:val="0"/>
          <w:color w:val="auto"/>
          <w:spacing w:val="0"/>
          <w:sz w:val="32"/>
          <w:szCs w:val="32"/>
          <w:shd w:val="clear" w:color="auto" w:fill="FFFFFF"/>
          <w:lang w:val="en-US" w:eastAsia="zh-CN"/>
        </w:rPr>
        <w:t>1</w:t>
      </w:r>
      <w:r>
        <w:rPr>
          <w:rFonts w:hint="eastAsia" w:ascii="仿宋_GB2312" w:hAnsi="仿宋_GB2312" w:eastAsia="仿宋_GB2312" w:cs="仿宋_GB2312"/>
          <w:i w:val="0"/>
          <w:caps w:val="0"/>
          <w:color w:val="auto"/>
          <w:spacing w:val="0"/>
          <w:sz w:val="32"/>
          <w:szCs w:val="32"/>
          <w:shd w:val="clear" w:color="auto" w:fill="FFFFFF"/>
        </w:rPr>
        <w:t>年</w:t>
      </w:r>
      <w:r>
        <w:rPr>
          <w:rFonts w:hint="eastAsia" w:ascii="仿宋_GB2312" w:hAnsi="仿宋_GB2312" w:eastAsia="仿宋_GB2312" w:cs="仿宋_GB2312"/>
          <w:i w:val="0"/>
          <w:caps w:val="0"/>
          <w:color w:val="auto"/>
          <w:spacing w:val="0"/>
          <w:sz w:val="32"/>
          <w:szCs w:val="32"/>
          <w:shd w:val="clear" w:color="auto" w:fill="FFFFFF"/>
          <w:lang w:val="en-US" w:eastAsia="zh-CN"/>
        </w:rPr>
        <w:t>8</w:t>
      </w:r>
      <w:r>
        <w:rPr>
          <w:rFonts w:hint="eastAsia" w:ascii="仿宋_GB2312" w:hAnsi="仿宋_GB2312" w:eastAsia="仿宋_GB2312" w:cs="仿宋_GB2312"/>
          <w:i w:val="0"/>
          <w:caps w:val="0"/>
          <w:color w:val="auto"/>
          <w:spacing w:val="0"/>
          <w:sz w:val="32"/>
          <w:szCs w:val="32"/>
          <w:shd w:val="clear" w:color="auto" w:fill="FFFFFF"/>
        </w:rPr>
        <w:t>月</w:t>
      </w:r>
      <w:r>
        <w:rPr>
          <w:rFonts w:hint="eastAsia" w:ascii="仿宋_GB2312" w:hAnsi="仿宋_GB2312" w:eastAsia="仿宋_GB2312" w:cs="仿宋_GB2312"/>
          <w:i w:val="0"/>
          <w:caps w:val="0"/>
          <w:color w:val="auto"/>
          <w:spacing w:val="0"/>
          <w:sz w:val="32"/>
          <w:szCs w:val="32"/>
          <w:shd w:val="clear" w:color="auto" w:fill="FFFFFF"/>
          <w:lang w:val="en-US" w:eastAsia="zh-CN"/>
        </w:rPr>
        <w:t>30</w:t>
      </w:r>
      <w:r>
        <w:rPr>
          <w:rFonts w:hint="eastAsia" w:ascii="仿宋_GB2312" w:hAnsi="仿宋_GB2312" w:eastAsia="仿宋_GB2312" w:cs="仿宋_GB2312"/>
          <w:i w:val="0"/>
          <w:caps w:val="0"/>
          <w:color w:val="auto"/>
          <w:spacing w:val="0"/>
          <w:sz w:val="32"/>
          <w:szCs w:val="32"/>
          <w:shd w:val="clear" w:color="auto" w:fill="FFFFFF"/>
        </w:rPr>
        <w:t>日</w:t>
      </w:r>
    </w:p>
    <w:p>
      <w:pPr>
        <w:pStyle w:val="3"/>
        <w:pageBreakBefore w:val="0"/>
        <w:kinsoku/>
        <w:wordWrap/>
        <w:overflowPunct/>
        <w:topLinePunct w:val="0"/>
        <w:autoSpaceDE/>
        <w:autoSpaceDN/>
        <w:bidi w:val="0"/>
        <w:adjustRightInd/>
        <w:snapToGrid/>
        <w:spacing w:beforeLines="0" w:afterLines="0" w:line="600" w:lineRule="exact"/>
        <w:jc w:val="both"/>
        <w:textAlignment w:val="auto"/>
        <w:rPr>
          <w:rFonts w:hint="eastAsia" w:ascii="仿宋_GB2312" w:hAnsi="仿宋_GB2312" w:eastAsia="仿宋_GB2312" w:cs="仿宋_GB2312"/>
          <w:b w:val="0"/>
          <w:bCs/>
          <w:color w:val="auto"/>
          <w:kern w:val="2"/>
          <w:sz w:val="32"/>
          <w:szCs w:val="32"/>
        </w:rPr>
        <w:sectPr>
          <w:headerReference r:id="rId18" w:type="default"/>
          <w:footerReference r:id="rId19" w:type="default"/>
          <w:pgSz w:w="11906" w:h="16838"/>
          <w:pgMar w:top="1814" w:right="1587" w:bottom="1701" w:left="1587" w:header="851" w:footer="992" w:gutter="0"/>
          <w:pgNumType w:fmt="decimal"/>
          <w:cols w:space="720" w:num="1"/>
          <w:docGrid w:type="lines" w:linePitch="312" w:charSpace="0"/>
        </w:sectPr>
      </w:pPr>
    </w:p>
    <w:p>
      <w:pPr>
        <w:spacing w:line="360" w:lineRule="auto"/>
        <w:ind w:firstLine="880" w:firstLineChars="200"/>
        <w:rPr>
          <w:rFonts w:ascii="方正小标宋简体" w:eastAsia="方正小标宋简体"/>
          <w:sz w:val="44"/>
          <w:szCs w:val="44"/>
        </w:rPr>
      </w:pPr>
      <w:r>
        <w:rPr>
          <w:rFonts w:hint="eastAsia" w:ascii="方正小标宋简体" w:eastAsia="方正小标宋简体"/>
          <w:sz w:val="44"/>
          <w:szCs w:val="44"/>
        </w:rPr>
        <w:t>郯城县烟草制品零售点布局管理规定</w:t>
      </w:r>
    </w:p>
    <w:p>
      <w:pPr>
        <w:tabs>
          <w:tab w:val="left" w:pos="3170"/>
        </w:tabs>
        <w:spacing w:line="360" w:lineRule="auto"/>
        <w:ind w:firstLine="640" w:firstLineChars="200"/>
        <w:rPr>
          <w:rFonts w:ascii="黑体" w:hAnsi="黑体" w:eastAsia="黑体"/>
          <w:sz w:val="32"/>
          <w:szCs w:val="32"/>
        </w:rPr>
      </w:pPr>
      <w:r>
        <w:rPr>
          <w:rFonts w:ascii="仿宋_GB2312" w:eastAsia="仿宋_GB2312"/>
          <w:sz w:val="32"/>
          <w:szCs w:val="32"/>
        </w:rPr>
        <w:tab/>
      </w:r>
    </w:p>
    <w:p>
      <w:pPr>
        <w:spacing w:line="620" w:lineRule="exact"/>
        <w:ind w:firstLine="640"/>
        <w:rPr>
          <w:rFonts w:ascii="仿宋_GB2312" w:eastAsia="仿宋_GB2312"/>
          <w:sz w:val="32"/>
          <w:szCs w:val="32"/>
        </w:rPr>
      </w:pPr>
      <w:r>
        <w:rPr>
          <w:rFonts w:hint="eastAsia" w:ascii="黑体" w:hAnsi="黑体" w:eastAsia="黑体" w:cs="黑体"/>
          <w:sz w:val="32"/>
          <w:szCs w:val="32"/>
        </w:rPr>
        <w:t>第一条</w:t>
      </w:r>
      <w:r>
        <w:rPr>
          <w:rFonts w:hint="eastAsia" w:ascii="仿宋_GB2312" w:eastAsia="仿宋_GB2312"/>
          <w:sz w:val="32"/>
          <w:szCs w:val="32"/>
        </w:rPr>
        <w:t xml:space="preserve">  为加强烟草专卖零售许可证管理，规范烟草制品零售市场的准入和退出，维护国家利益、消费者利益和未成年人合法权益，根据《中华人民共和国行政许可法》、《中华人民共和国未成年人保护法》、《中华人民共和国烟草专卖法》及其实施条例、《烟草专卖许可证管理办法》及其实施细则等法律法规规章，结合郯城县实际，制定本规定。</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第二条  </w:t>
      </w:r>
      <w:r>
        <w:rPr>
          <w:rFonts w:hint="eastAsia" w:ascii="仿宋_GB2312" w:hAnsi="宋体" w:eastAsia="仿宋_GB2312"/>
          <w:sz w:val="32"/>
          <w:szCs w:val="32"/>
        </w:rPr>
        <w:t>本规定适用于郯城县行政区域内烟草制品零售点（以下简称零售点）布局。</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第三条  </w:t>
      </w:r>
      <w:r>
        <w:rPr>
          <w:rFonts w:hint="eastAsia" w:ascii="仿宋_GB2312" w:hAnsi="宋体" w:eastAsia="仿宋_GB2312"/>
          <w:sz w:val="32"/>
          <w:szCs w:val="32"/>
        </w:rPr>
        <w:t>零售点布局应当遵循依法行政、科学规划、服务社会、均衡发展的原则，根据辖区内的人口数量、交通状况、经济发展水平、消费能力等因素综合确定。</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第四条  </w:t>
      </w:r>
      <w:r>
        <w:rPr>
          <w:rFonts w:hint="eastAsia" w:ascii="仿宋_GB2312" w:hAnsi="宋体" w:eastAsia="仿宋_GB2312"/>
          <w:sz w:val="32"/>
          <w:szCs w:val="32"/>
        </w:rPr>
        <w:t>根据人口数量、交通状况、经济发展水平、消费能力等因素，划分为县城区域街道、一般街道、各类商品批发市场</w:t>
      </w:r>
      <w:r>
        <w:rPr>
          <w:rFonts w:hint="eastAsia" w:ascii="仿宋_GB2312" w:eastAsia="仿宋_GB2312"/>
          <w:sz w:val="32"/>
          <w:szCs w:val="32"/>
        </w:rPr>
        <w:t>（含大型商业综合体）</w:t>
      </w:r>
      <w:r>
        <w:rPr>
          <w:rFonts w:hint="eastAsia" w:ascii="仿宋_GB2312" w:hAnsi="宋体" w:eastAsia="仿宋_GB2312"/>
          <w:sz w:val="32"/>
          <w:szCs w:val="32"/>
        </w:rPr>
        <w:t>、城镇社区、行政村五类区域，分别设定不同零售点布局条件及标准：</w:t>
      </w:r>
    </w:p>
    <w:p>
      <w:pPr>
        <w:spacing w:line="620" w:lineRule="exact"/>
        <w:ind w:firstLine="640" w:firstLineChars="200"/>
        <w:rPr>
          <w:rFonts w:ascii="宋体" w:hAnsi="宋体" w:cs="宋体"/>
          <w:sz w:val="24"/>
          <w:lang w:val="zh-CN"/>
        </w:rPr>
      </w:pPr>
      <w:r>
        <w:rPr>
          <w:rFonts w:hint="eastAsia" w:ascii="仿宋_GB2312" w:hAnsi="宋体" w:eastAsia="仿宋_GB2312"/>
          <w:sz w:val="32"/>
          <w:szCs w:val="32"/>
        </w:rPr>
        <w:t>（一）县城区域街道：同一街道两侧以申请人经营场所为基准点左右各延伸500米内零售点设置不超过12个，零售点之间不相邻且间距不低于50米，主要涵盖皇亭路以北、师郯路以南、205国道以西、振兴路以东范围内街道。</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二）一般街道：同一街道两侧以申请人经营场所为基准点左右各延伸500米内零售点设置不超过10个，零售点之间不相邻且间距不低于60米。一般街道主要包括郯城县城区域街道以外的街道和乡镇驻地街道（含已撤销乡镇的原驻地）。</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（三）各类商品批发市场</w:t>
      </w:r>
      <w:r>
        <w:rPr>
          <w:rFonts w:hint="eastAsia" w:ascii="仿宋_GB2312" w:eastAsia="仿宋_GB2312"/>
          <w:sz w:val="32"/>
          <w:szCs w:val="32"/>
        </w:rPr>
        <w:t>（含大型商业综合体）</w:t>
      </w:r>
      <w:r>
        <w:rPr>
          <w:rFonts w:hint="eastAsia" w:ascii="仿宋_GB2312" w:hAnsi="宋体" w:eastAsia="仿宋_GB2312"/>
          <w:sz w:val="32"/>
          <w:szCs w:val="32"/>
        </w:rPr>
        <w:t>：每100个经营商户可设1个，零售点之间不相邻且间距不低于50米，低于100户不设。</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（四）城镇社区：按照现有住户每100户设1个的标准设置零售点，零售点之间不相邻且间距不低于50米，低于100户的可设置1个零售点。城镇社区主要包括封闭管理的城乡居民住宅小区、还建小区、棚改社区等。</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（五）行政村：按照现有住户每100户设1个的标准设置零售点，零售点之间不相邻且间距不低于50米，低于100户的可设置1个零售点。 </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受数量限制的区域设置零售点，按照先申请先受理和退一进一的原则办理。 </w:t>
      </w:r>
    </w:p>
    <w:p>
      <w:pPr>
        <w:spacing w:line="620" w:lineRule="exact"/>
        <w:ind w:firstLine="640" w:firstLineChars="200"/>
        <w:rPr>
          <w:rFonts w:ascii="宋体" w:hAnsi="宋体"/>
          <w:sz w:val="28"/>
          <w:szCs w:val="28"/>
        </w:rPr>
      </w:pPr>
      <w:r>
        <w:rPr>
          <w:rFonts w:hint="eastAsia" w:ascii="黑体" w:hAnsi="黑体" w:eastAsia="黑体"/>
          <w:sz w:val="32"/>
          <w:szCs w:val="32"/>
        </w:rPr>
        <w:t xml:space="preserve">第五条  </w:t>
      </w:r>
      <w:r>
        <w:rPr>
          <w:rFonts w:hint="eastAsia" w:ascii="仿宋_GB2312" w:hAnsi="宋体" w:eastAsia="仿宋_GB2312"/>
          <w:sz w:val="32"/>
          <w:szCs w:val="32"/>
        </w:rPr>
        <w:t>符合下列情形之一的，不受第四条规定条件的限制：</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（一）营业面积（不包括独立的仓储、办公场所、公共通道、停车场等）在500平方米以上的商场、超市、购物中心、便利店以及在本辖区拥有10家以上的连锁店等经营商户，可设置1个零售点；</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（二）营业面积500平方米以上的度假村、纪念馆、展览馆、体育场馆等相对封闭以满足停留在设施内特定顾客消费的经营场所。相关展馆可设置1-2个零售点；</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（三）宾馆、饭店、酒楼等营业性场所，宾馆房间数量超过100间，饭店、酒楼单间数量超过20间。现已有许可证但是低于以上标准的宾馆、饭店、酒楼</w:t>
      </w:r>
      <w:r>
        <w:rPr>
          <w:rFonts w:hint="eastAsia" w:ascii="仿宋_GB2312" w:eastAsia="仿宋_GB2312"/>
          <w:sz w:val="32"/>
          <w:szCs w:val="32"/>
        </w:rPr>
        <w:t>且</w:t>
      </w:r>
      <w:r>
        <w:rPr>
          <w:rFonts w:ascii="仿宋_GB2312" w:eastAsia="仿宋_GB2312"/>
          <w:sz w:val="32"/>
          <w:szCs w:val="32"/>
        </w:rPr>
        <w:t>不符合相关布局标准的</w:t>
      </w:r>
      <w:r>
        <w:rPr>
          <w:rFonts w:hint="eastAsia" w:ascii="仿宋_GB2312" w:eastAsia="仿宋_GB2312"/>
          <w:sz w:val="32"/>
          <w:szCs w:val="32"/>
        </w:rPr>
        <w:t>，许可证</w:t>
      </w:r>
      <w:r>
        <w:rPr>
          <w:rFonts w:ascii="仿宋_GB2312" w:eastAsia="仿宋_GB2312"/>
          <w:sz w:val="32"/>
          <w:szCs w:val="32"/>
        </w:rPr>
        <w:t>有效期届满后不予延续</w:t>
      </w:r>
      <w:r>
        <w:rPr>
          <w:rFonts w:hint="eastAsia" w:ascii="仿宋_GB2312" w:eastAsia="仿宋_GB2312"/>
          <w:sz w:val="32"/>
          <w:szCs w:val="32"/>
        </w:rPr>
        <w:t>；</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（四）AAA级以上旅游景点、客运交通枢纽、机场、火车（高铁）站等流动人口密集区内，可按需设置零售点，零售点之间不相邻且间距不低于50米，但相关区域管理运营机构禁止设立烟草制品零售点的除外；</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（五）</w:t>
      </w:r>
      <w:r>
        <w:rPr>
          <w:rFonts w:ascii="仿宋_GB2312" w:hAnsi="宋体" w:eastAsia="仿宋_GB2312"/>
          <w:sz w:val="32"/>
          <w:szCs w:val="32"/>
        </w:rPr>
        <w:t>本规定实施前已设立的零售点因客观情形变化，导致零售点位于中小学</w:t>
      </w:r>
      <w:r>
        <w:rPr>
          <w:rFonts w:hint="eastAsia" w:ascii="仿宋_GB2312" w:hAnsi="宋体" w:eastAsia="仿宋_GB2312"/>
          <w:sz w:val="32"/>
          <w:szCs w:val="32"/>
        </w:rPr>
        <w:t>校</w:t>
      </w:r>
      <w:r>
        <w:rPr>
          <w:rFonts w:ascii="仿宋_GB2312" w:hAnsi="宋体" w:eastAsia="仿宋_GB2312"/>
          <w:sz w:val="32"/>
          <w:szCs w:val="32"/>
        </w:rPr>
        <w:t>、</w:t>
      </w:r>
      <w:r>
        <w:rPr>
          <w:rFonts w:hint="eastAsia" w:ascii="仿宋_GB2312" w:hAnsi="宋体" w:eastAsia="仿宋_GB2312"/>
          <w:sz w:val="32"/>
          <w:szCs w:val="32"/>
        </w:rPr>
        <w:t>少年宫、</w:t>
      </w:r>
      <w:r>
        <w:rPr>
          <w:rFonts w:ascii="仿宋_GB2312" w:hAnsi="宋体" w:eastAsia="仿宋_GB2312"/>
          <w:sz w:val="32"/>
          <w:szCs w:val="32"/>
        </w:rPr>
        <w:t>幼儿园内部或距离中小学校</w:t>
      </w:r>
      <w:r>
        <w:rPr>
          <w:rFonts w:hint="eastAsia" w:ascii="仿宋_GB2312" w:hAnsi="宋体" w:eastAsia="仿宋_GB2312"/>
          <w:sz w:val="32"/>
          <w:szCs w:val="32"/>
        </w:rPr>
        <w:t>、少年宫、幼儿园</w:t>
      </w:r>
      <w:r>
        <w:rPr>
          <w:rFonts w:ascii="仿宋_GB2312" w:hAnsi="宋体" w:eastAsia="仿宋_GB2312"/>
          <w:sz w:val="32"/>
          <w:szCs w:val="32"/>
        </w:rPr>
        <w:t>所有学生通勤出入口100米范围内的持证零售户，6 个月内搬迁至原发证机关管辖区内重新申领许可证的</w:t>
      </w:r>
      <w:r>
        <w:rPr>
          <w:rFonts w:hint="eastAsia" w:ascii="仿宋_GB2312" w:hAnsi="宋体" w:eastAsia="仿宋_GB2312"/>
          <w:sz w:val="32"/>
          <w:szCs w:val="32"/>
        </w:rPr>
        <w:t>。</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第六条  </w:t>
      </w:r>
      <w:r>
        <w:rPr>
          <w:rFonts w:hint="eastAsia" w:ascii="仿宋_GB2312" w:hAnsi="宋体" w:eastAsia="仿宋_GB2312"/>
          <w:sz w:val="32"/>
          <w:szCs w:val="32"/>
        </w:rPr>
        <w:t>属于下列情形之一的，禁止设立零售点：</w:t>
      </w:r>
    </w:p>
    <w:p>
      <w:pPr>
        <w:spacing w:line="620" w:lineRule="exact"/>
        <w:ind w:firstLine="640"/>
        <w:rPr>
          <w:rFonts w:ascii="仿宋_GB2312" w:hAnsi="宋体" w:eastAsia="仿宋_GB2312"/>
          <w:sz w:val="32"/>
          <w:szCs w:val="32"/>
        </w:rPr>
      </w:pPr>
      <w:r>
        <w:rPr>
          <w:rFonts w:hint="eastAsia" w:ascii="仿宋_GB2312" w:hAnsi="宋体" w:eastAsia="仿宋_GB2312"/>
          <w:sz w:val="32"/>
          <w:szCs w:val="32"/>
        </w:rPr>
        <w:t>（一）经营场所位于住宅小区内，除经规划为商业用途场所外的其他住宅附属配套房屋的；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（二）经营场所基于安全因素不适宜经营卷烟的；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（三）经营场所位于党政机关内部的；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（四）中小学校、少年宫、幼儿园内及距其出入口距离100米以内的区域；</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（五）违章建筑场所、临时建筑场所、简易搭盖、流动摊点等非固定经营场所，未取得占道经营许可的电话亭、报刊亭、集装箱房等场所；</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（六）与住所不相独立的固定经营场所；</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（七）生产经营有毒、有害、易燃、易爆物品等基于安全因素不适宜经营卷烟的场所；</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（八）利用自动售货机、信息网络销售烟草制品的；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（九）经营场所已列入政府拆迁规划并被冻结的区域；</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（十）法律、法规、规章及国家烟草专卖局规定的其他禁止设立零售点的情形。</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第七条</w:t>
      </w:r>
      <w:r>
        <w:rPr>
          <w:rFonts w:hint="eastAsia" w:ascii="仿宋_GB2312" w:hAnsi="宋体" w:eastAsia="仿宋_GB2312"/>
          <w:sz w:val="32"/>
          <w:szCs w:val="32"/>
        </w:rPr>
        <w:t xml:space="preserve"> 属于下列情形之一的，不予发放烟草专卖零售许可证：</w:t>
      </w:r>
    </w:p>
    <w:p>
      <w:pPr>
        <w:spacing w:line="620" w:lineRule="exact"/>
        <w:ind w:firstLine="640"/>
        <w:rPr>
          <w:rFonts w:ascii="仿宋_GB2312" w:hAnsi="宋体" w:eastAsia="仿宋_GB2312"/>
          <w:sz w:val="32"/>
          <w:szCs w:val="32"/>
        </w:rPr>
      </w:pPr>
      <w:r>
        <w:rPr>
          <w:rFonts w:hint="eastAsia" w:ascii="仿宋_GB2312" w:hAnsi="宋体" w:eastAsia="仿宋_GB2312"/>
          <w:sz w:val="32"/>
          <w:szCs w:val="32"/>
        </w:rPr>
        <w:t>（一）失信被执行人申请的；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（二）申请人为未成年人、无民事行为能力人或限制民事行为能力人的；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（三）外商投资的商业企业、个体工商户或以特许、吸纳加盟店及其他再投资等形式申请从事烟草制品零售业务的；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（四）未取得营业执照的；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（五）取消从事烟草专卖业务资格不满三年的；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（六）因申请人隐瞒有关情况或者提供虚假材料，烟草专卖局已作出不予受理或者不予发证决定后，申请人一年内再次提出申请的；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（七）因申请人以欺骗、贿赂等不正当手段取得的烟草专卖许可证被撤销后，申请人三年内再次提出申请的；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（八）未领取烟草专卖零售许可证经营烟草专卖品业务，并且一年内被执法机关处罚两次以上，申请人在三年内申请领取烟草专卖零售许可证的；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（九）未领取烟草专卖零售许可证经营烟草专卖品业务被追究刑事责任，在3年内申请领取烟草专卖零售许可证的；</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（十）法律、法规、规章及国家烟草专卖局规定的其他不予发证的情形。</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第八条</w:t>
      </w:r>
      <w:r>
        <w:rPr>
          <w:rFonts w:hint="eastAsia" w:ascii="仿宋_GB2312" w:hAnsi="宋体" w:eastAsia="仿宋_GB2312"/>
          <w:sz w:val="32"/>
          <w:szCs w:val="32"/>
        </w:rPr>
        <w:t xml:space="preserve">  零售点设置的其他情形</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（一）本辖区的残疾人、军烈属、特困户等特殊群体首次申领烟草专卖零售许可证且由本人从事个体经营，能够出具相关证明的，可在城区和乡镇驻地街道、社区零售点间距要求基础上放宽50%，特殊情况除外；</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（二）因道路规划、城市建设等客观原因改变经营地址，</w:t>
      </w:r>
      <w:r>
        <w:rPr>
          <w:rFonts w:hint="eastAsia" w:ascii="仿宋_GB2312" w:eastAsia="仿宋_GB2312"/>
          <w:sz w:val="32"/>
          <w:szCs w:val="32"/>
        </w:rPr>
        <w:t>持证人在原发证机关辖区内</w:t>
      </w:r>
      <w:r>
        <w:rPr>
          <w:rFonts w:hint="eastAsia" w:ascii="仿宋_GB2312" w:hAnsi="宋体" w:eastAsia="仿宋_GB2312"/>
          <w:sz w:val="32"/>
          <w:szCs w:val="32"/>
        </w:rPr>
        <w:t>重新申领或者变更烟草专卖零售许可证的，不受城区和乡镇驻地街道、社区零售点间距的限制；</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三）许可证有效期内，持证人死亡或丧失民事行为能力后其家庭成员继续从事经营，或者因继承、法院判决、法人或者其他组织分立、合并或企业类型发生改变导致许可证持证主体发生改变，在原经营地址重新申领许可证的，不受合理布局的限制；</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（四）经营场所的安全要求和中小学校、少年宫、幼儿园周围的限制规定不得放宽；</w:t>
      </w:r>
    </w:p>
    <w:p>
      <w:pPr>
        <w:spacing w:line="620" w:lineRule="exact"/>
        <w:ind w:firstLine="640" w:firstLineChars="200"/>
        <w:rPr>
          <w:rFonts w:ascii="仿宋_GB2312" w:hAnsi="宋体" w:eastAsia="仿宋_GB2312"/>
          <w:sz w:val="32"/>
          <w:szCs w:val="32"/>
        </w:rPr>
      </w:pPr>
      <w:r>
        <w:rPr>
          <w:rFonts w:hint="eastAsia" w:ascii="仿宋_GB2312" w:hAnsi="宋体" w:eastAsia="仿宋_GB2312"/>
          <w:sz w:val="32"/>
          <w:szCs w:val="32"/>
        </w:rPr>
        <w:t>（五）已合法持有烟草专卖零售许可证的零售户，不受合理布局规划调整的影响，但经营场所为非经规划为商业用途的住宅附属配套房屋的，在许可证有效期届满后不予延续。</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第九条  </w:t>
      </w:r>
      <w:r>
        <w:rPr>
          <w:rFonts w:hint="eastAsia" w:ascii="仿宋_GB2312" w:hAnsi="宋体" w:eastAsia="仿宋_GB2312"/>
          <w:sz w:val="32"/>
          <w:szCs w:val="32"/>
        </w:rPr>
        <w:t>在许可证有效期内，一处经营场所只能办理一个烟草专卖零售许可证。</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第十条  </w:t>
      </w:r>
      <w:r>
        <w:rPr>
          <w:rFonts w:hint="eastAsia" w:ascii="仿宋_GB2312" w:hAnsi="宋体" w:eastAsia="仿宋_GB2312"/>
          <w:sz w:val="32"/>
          <w:szCs w:val="32"/>
        </w:rPr>
        <w:t>间距指申请人经营场所所有进出通道口与其它零售点、中小学校、少年宫、幼儿园等主体所有进出通道口可通行的最近距离，以通道口最近一侧之间的距离为准。</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第十一条  </w:t>
      </w:r>
      <w:r>
        <w:rPr>
          <w:rFonts w:hint="eastAsia" w:ascii="仿宋_GB2312" w:hAnsi="宋体" w:eastAsia="仿宋_GB2312"/>
          <w:sz w:val="32"/>
          <w:szCs w:val="32"/>
        </w:rPr>
        <w:t>中小学校是指以未成年人为主要对象的普通中小学校、特殊教育学校、中等职业学校、专门学校。幼儿园是指依法批准设立的对学龄前儿童实施保育与教育的学前教育机构。</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第十二条  </w:t>
      </w:r>
      <w:r>
        <w:rPr>
          <w:rFonts w:hint="eastAsia" w:ascii="仿宋_GB2312" w:hAnsi="宋体" w:eastAsia="仿宋_GB2312"/>
          <w:sz w:val="32"/>
          <w:szCs w:val="32"/>
        </w:rPr>
        <w:t>大型商业综合体是指以商业购物活动为基本内容结合餐饮、休闲娱乐、体育健身等若干功能组成的综合性商业建筑。</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第十三条  </w:t>
      </w:r>
      <w:r>
        <w:rPr>
          <w:rFonts w:hint="eastAsia" w:ascii="仿宋_GB2312" w:hAnsi="宋体" w:eastAsia="仿宋_GB2312"/>
          <w:sz w:val="32"/>
          <w:szCs w:val="32"/>
        </w:rPr>
        <w:t>有毒、有害、易燃、易爆物品，是指农药、化肥、化工、油漆、涂料、汽油、柴油、油墨、烟花爆竹等不安全或导致卷烟被污染的物品。</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 xml:space="preserve">第十四条  </w:t>
      </w:r>
      <w:r>
        <w:rPr>
          <w:rFonts w:hint="eastAsia" w:ascii="仿宋_GB2312" w:hAnsi="宋体" w:eastAsia="仿宋_GB2312"/>
          <w:sz w:val="32"/>
          <w:szCs w:val="32"/>
        </w:rPr>
        <w:t>本规定未明确界定的区域，或者按有关条款无法辨明适用布局标准的区域，参照第四条规定办理。</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第十五条</w:t>
      </w:r>
      <w:r>
        <w:rPr>
          <w:rFonts w:hint="eastAsia" w:ascii="仿宋_GB2312" w:hAnsi="宋体" w:eastAsia="仿宋_GB2312"/>
          <w:sz w:val="32"/>
          <w:szCs w:val="32"/>
        </w:rPr>
        <w:t xml:space="preserve">  本规定所称“以上”、“以内”、“不低于”均包括本数。</w:t>
      </w:r>
    </w:p>
    <w:p>
      <w:pPr>
        <w:spacing w:line="620" w:lineRule="exact"/>
        <w:ind w:firstLine="640" w:firstLineChars="200"/>
        <w:rPr>
          <w:rFonts w:ascii="仿宋_GB2312" w:hAnsi="宋体" w:eastAsia="仿宋_GB2312"/>
          <w:sz w:val="32"/>
          <w:szCs w:val="32"/>
        </w:rPr>
      </w:pPr>
      <w:r>
        <w:rPr>
          <w:rFonts w:hint="eastAsia" w:ascii="黑体" w:hAnsi="黑体" w:eastAsia="黑体"/>
          <w:sz w:val="32"/>
          <w:szCs w:val="32"/>
        </w:rPr>
        <w:t>第十六条</w:t>
      </w:r>
      <w:r>
        <w:rPr>
          <w:rFonts w:hint="eastAsia" w:ascii="仿宋_GB2312" w:hAnsi="宋体" w:eastAsia="仿宋_GB2312"/>
          <w:sz w:val="32"/>
          <w:szCs w:val="32"/>
        </w:rPr>
        <w:t xml:space="preserve">  本规定由郯城县烟草专卖局负责解释。本规定实施过程中，法律、法规、规章和上级规范性文件另外规定的，从其规定。</w:t>
      </w:r>
    </w:p>
    <w:p>
      <w:pPr>
        <w:spacing w:line="620" w:lineRule="exact"/>
        <w:ind w:firstLine="640" w:firstLineChars="200"/>
      </w:pPr>
      <w:r>
        <w:rPr>
          <w:rFonts w:hint="eastAsia" w:ascii="黑体" w:hAnsi="黑体" w:eastAsia="黑体"/>
          <w:sz w:val="32"/>
          <w:szCs w:val="32"/>
        </w:rPr>
        <w:t xml:space="preserve">第十七条  </w:t>
      </w:r>
      <w:r>
        <w:rPr>
          <w:rFonts w:hint="eastAsia" w:ascii="仿宋_GB2312" w:hAnsi="宋体" w:eastAsia="仿宋_GB2312"/>
          <w:sz w:val="32"/>
          <w:szCs w:val="32"/>
        </w:rPr>
        <w:t>本规定自2021年10月1日起施行，有效期至  2026年9月30日。</w:t>
      </w:r>
    </w:p>
    <w:p>
      <w:pPr>
        <w:pStyle w:val="4"/>
        <w:jc w:val="both"/>
        <w:rPr>
          <w:sz w:val="20"/>
        </w:rPr>
      </w:pPr>
    </w:p>
    <w:p>
      <w:pPr>
        <w:rPr>
          <w:sz w:val="20"/>
        </w:rPr>
      </w:pPr>
      <w:r>
        <w:rPr>
          <w:sz w:val="20"/>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小标宋简体" w:hAnsi="Times New Roman" w:eastAsia="方正小标宋简体"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ascii="方正小标宋简体" w:hAnsi="Times New Roman" w:eastAsia="方正小标宋简体" w:cs="Times New Roman"/>
          <w:sz w:val="32"/>
          <w:szCs w:val="32"/>
        </w:rPr>
      </w:pPr>
    </w:p>
    <w:p>
      <w:pPr>
        <w:keepNext w:val="0"/>
        <w:keepLines w:val="0"/>
        <w:pageBreakBefore w:val="0"/>
        <w:kinsoku/>
        <w:wordWrap/>
        <w:overflowPunct/>
        <w:topLinePunct w:val="0"/>
        <w:autoSpaceDE/>
        <w:autoSpaceDN/>
        <w:bidi w:val="0"/>
        <w:adjustRightInd/>
        <w:snapToGrid/>
        <w:spacing w:line="600" w:lineRule="exact"/>
        <w:rPr>
          <w:rFonts w:hint="eastAsia" w:ascii="仿宋_GB2312" w:hAnsi="Times New Roman" w:eastAsia="仿宋_GB2312" w:cs="Times New Roman"/>
          <w:sz w:val="32"/>
          <w:szCs w:val="32"/>
        </w:rPr>
      </w:pPr>
    </w:p>
    <w:p>
      <w:pPr>
        <w:pageBreakBefore w:val="0"/>
        <w:kinsoku/>
        <w:wordWrap/>
        <w:overflowPunct/>
        <w:topLinePunct w:val="0"/>
        <w:autoSpaceDE/>
        <w:autoSpaceDN/>
        <w:bidi w:val="0"/>
        <w:adjustRightInd/>
        <w:snapToGrid/>
        <w:spacing w:line="600" w:lineRule="exact"/>
        <w:jc w:val="center"/>
        <w:rPr>
          <w:rFonts w:ascii="仿宋_GB2312" w:hAnsi="Times New Roman" w:eastAsia="仿宋_GB2312" w:cs="Times New Roman"/>
          <w:sz w:val="32"/>
          <w:szCs w:val="32"/>
        </w:rPr>
      </w:pPr>
      <w:r>
        <w:rPr>
          <w:rFonts w:hint="eastAsia" w:ascii="仿宋_GB2312" w:hAnsi="Times New Roman" w:eastAsia="仿宋_GB2312" w:cs="Times New Roman"/>
          <w:sz w:val="32"/>
          <w:szCs w:val="32"/>
        </w:rPr>
        <w:t>郯政办字〔2021〕</w:t>
      </w:r>
      <w:r>
        <w:rPr>
          <w:rFonts w:hint="eastAsia" w:ascii="仿宋_GB2312" w:eastAsia="仿宋_GB2312" w:cs="Times New Roman"/>
          <w:sz w:val="32"/>
          <w:szCs w:val="32"/>
          <w:lang w:val="en-US" w:eastAsia="zh-CN"/>
        </w:rPr>
        <w:t>59</w:t>
      </w:r>
      <w:r>
        <w:rPr>
          <w:rFonts w:hint="eastAsia" w:ascii="仿宋_GB2312" w:hAnsi="Times New Roman" w:eastAsia="仿宋_GB2312" w:cs="Times New Roman"/>
          <w:sz w:val="32"/>
          <w:szCs w:val="32"/>
        </w:rPr>
        <w:t>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top"/>
        <w:rPr>
          <w:rFonts w:hint="eastAsia" w:ascii="方正小标宋简体" w:hAnsi="方正小标宋简体" w:eastAsia="方正小标宋简体" w:cs="方正小标宋简体"/>
          <w:i w:val="0"/>
          <w:caps w:val="0"/>
          <w:color w:val="333333"/>
          <w:spacing w:val="0"/>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w w:val="100"/>
          <w:sz w:val="44"/>
          <w:szCs w:val="44"/>
          <w14:textFill>
            <w14:solidFill>
              <w14:schemeClr w14:val="tx1"/>
            </w14:solidFill>
          </w14:textFill>
        </w:rPr>
      </w:pPr>
      <w:r>
        <w:rPr>
          <w:rFonts w:hint="eastAsia" w:ascii="方正小标宋简体" w:hAnsi="方正小标宋简体" w:eastAsia="方正小标宋简体" w:cs="方正小标宋简体"/>
          <w:sz w:val="44"/>
          <w:szCs w:val="44"/>
          <w:lang w:val="en-US" w:eastAsia="zh-CN"/>
        </w:rPr>
        <w:t>关于印发《</w:t>
      </w:r>
      <w:r>
        <w:rPr>
          <w:rFonts w:hint="default" w:ascii="Times New Roman" w:hAnsi="Times New Roman" w:eastAsia="方正小标宋简体" w:cs="Times New Roman"/>
          <w:color w:val="000000" w:themeColor="text1"/>
          <w:w w:val="100"/>
          <w:sz w:val="44"/>
          <w:szCs w:val="44"/>
          <w:lang w:val="en-US" w:eastAsia="zh-CN"/>
          <w14:textFill>
            <w14:solidFill>
              <w14:schemeClr w14:val="tx1"/>
            </w14:solidFill>
          </w14:textFill>
        </w:rPr>
        <w:t>郯城县</w:t>
      </w:r>
      <w:r>
        <w:rPr>
          <w:rFonts w:hint="default" w:ascii="Times New Roman" w:hAnsi="Times New Roman" w:eastAsia="方正小标宋简体" w:cs="Times New Roman"/>
          <w:color w:val="000000" w:themeColor="text1"/>
          <w:w w:val="100"/>
          <w:sz w:val="44"/>
          <w:szCs w:val="44"/>
          <w14:textFill>
            <w14:solidFill>
              <w14:schemeClr w14:val="tx1"/>
            </w14:solidFill>
          </w14:textFill>
        </w:rPr>
        <w:t>深入开展坚决整治</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default" w:ascii="Times New Roman" w:hAnsi="Times New Roman" w:eastAsia="方正小标宋简体" w:cs="Times New Roman"/>
          <w:color w:val="000000" w:themeColor="text1"/>
          <w:w w:val="100"/>
          <w:sz w:val="44"/>
          <w:szCs w:val="44"/>
          <w14:textFill>
            <w14:solidFill>
              <w14:schemeClr w14:val="tx1"/>
            </w14:solidFill>
          </w14:textFill>
        </w:rPr>
        <w:t>违规设置妨碍货车通行的道路限高限宽设施和检查卡点实施方案</w:t>
      </w:r>
      <w:r>
        <w:rPr>
          <w:rFonts w:hint="eastAsia" w:ascii="方正小标宋简体" w:hAnsi="方正小标宋简体" w:eastAsia="方正小标宋简体" w:cs="方正小标宋简体"/>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各乡镇（街道）人民政府，新村银杏产业开发区，县直有关部门：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《郯城县深入开展坚决整治违规设置妨碍货车通行的道路限高限宽设施和检查卡点实施方案》已经县政府同意，现印发给你们，请结合工作实际，认真抓好贯彻落实。</w:t>
      </w: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color w:val="000000" w:themeColor="text1"/>
          <w:w w:val="100"/>
          <w:sz w:val="44"/>
          <w:szCs w:val="44"/>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                                   2021年8月31日</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w w:val="100"/>
          <w:sz w:val="44"/>
          <w:szCs w:val="44"/>
          <w:lang w:val="en-US" w:eastAsia="zh-CN"/>
          <w14:textFill>
            <w14:solidFill>
              <w14:schemeClr w14:val="tx1"/>
            </w14:solidFill>
          </w14:textFill>
        </w:rPr>
      </w:pP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w w:val="100"/>
          <w:sz w:val="44"/>
          <w:szCs w:val="44"/>
          <w14:textFill>
            <w14:solidFill>
              <w14:schemeClr w14:val="tx1"/>
            </w14:solidFill>
          </w14:textFill>
        </w:rPr>
      </w:pPr>
      <w:r>
        <w:rPr>
          <w:rFonts w:hint="default" w:ascii="Times New Roman" w:hAnsi="Times New Roman" w:eastAsia="方正小标宋简体" w:cs="Times New Roman"/>
          <w:color w:val="000000" w:themeColor="text1"/>
          <w:w w:val="100"/>
          <w:sz w:val="44"/>
          <w:szCs w:val="44"/>
          <w:lang w:val="en-US" w:eastAsia="zh-CN"/>
          <w14:textFill>
            <w14:solidFill>
              <w14:schemeClr w14:val="tx1"/>
            </w14:solidFill>
          </w14:textFill>
        </w:rPr>
        <w:t>郯城县</w:t>
      </w:r>
      <w:r>
        <w:rPr>
          <w:rFonts w:hint="default" w:ascii="Times New Roman" w:hAnsi="Times New Roman" w:eastAsia="方正小标宋简体" w:cs="Times New Roman"/>
          <w:color w:val="000000" w:themeColor="text1"/>
          <w:w w:val="100"/>
          <w:sz w:val="44"/>
          <w:szCs w:val="44"/>
          <w14:textFill>
            <w14:solidFill>
              <w14:schemeClr w14:val="tx1"/>
            </w14:solidFill>
          </w14:textFill>
        </w:rPr>
        <w:t>深入开展坚决整治</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w w:val="100"/>
          <w:sz w:val="44"/>
          <w:szCs w:val="44"/>
          <w14:textFill>
            <w14:solidFill>
              <w14:schemeClr w14:val="tx1"/>
            </w14:solidFill>
          </w14:textFill>
        </w:rPr>
      </w:pPr>
      <w:r>
        <w:rPr>
          <w:rFonts w:hint="default" w:ascii="Times New Roman" w:hAnsi="Times New Roman" w:eastAsia="方正小标宋简体" w:cs="Times New Roman"/>
          <w:color w:val="000000" w:themeColor="text1"/>
          <w:w w:val="100"/>
          <w:sz w:val="44"/>
          <w:szCs w:val="44"/>
          <w14:textFill>
            <w14:solidFill>
              <w14:schemeClr w14:val="tx1"/>
            </w14:solidFill>
          </w14:textFill>
        </w:rPr>
        <w:t>违规设置妨碍货车通行的道路限高限宽</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w w:val="100"/>
          <w:sz w:val="44"/>
          <w:szCs w:val="44"/>
          <w14:textFill>
            <w14:solidFill>
              <w14:schemeClr w14:val="tx1"/>
            </w14:solidFill>
          </w14:textFill>
        </w:rPr>
      </w:pPr>
      <w:r>
        <w:rPr>
          <w:rFonts w:hint="default" w:ascii="Times New Roman" w:hAnsi="Times New Roman" w:eastAsia="方正小标宋简体" w:cs="Times New Roman"/>
          <w:color w:val="000000" w:themeColor="text1"/>
          <w:w w:val="100"/>
          <w:sz w:val="44"/>
          <w:szCs w:val="44"/>
          <w14:textFill>
            <w14:solidFill>
              <w14:schemeClr w14:val="tx1"/>
            </w14:solidFill>
          </w14:textFill>
        </w:rPr>
        <w:t>设施和检查卡点实施方案</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640" w:firstLineChars="200"/>
        <w:jc w:val="center"/>
        <w:textAlignment w:val="auto"/>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为深入开展坚决整治违规设置妨碍货车通行的道路限高限宽设施和检查卡点工作，进一步改善道路通行条件，促进货运行业健康稳定发展，根据</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省市有关文件精神，制定本方案。</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r>
        <w:rPr>
          <w:rFonts w:hint="default" w:ascii="Times New Roman" w:hAnsi="Times New Roman" w:eastAsia="黑体" w:cs="Times New Roman"/>
          <w:color w:val="000000" w:themeColor="text1"/>
          <w:w w:val="100"/>
          <w:sz w:val="32"/>
          <w:szCs w:val="32"/>
          <w14:textFill>
            <w14:solidFill>
              <w14:schemeClr w14:val="tx1"/>
            </w14:solidFill>
          </w14:textFill>
        </w:rPr>
        <w:t>一、总体要求</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以习近平新时代中国特色社会主义思想为指导，坚持以人民为中心的发展思想，坚持系统观念，统筹发展和安全，对照“六个必须”标准（附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件1</w:t>
      </w:r>
      <w:r>
        <w:rPr>
          <w:rFonts w:hint="default" w:ascii="Times New Roman" w:hAnsi="Times New Roman" w:eastAsia="仿宋_GB2312" w:cs="Times New Roman"/>
          <w:color w:val="000000" w:themeColor="text1"/>
          <w:w w:val="100"/>
          <w:sz w:val="32"/>
          <w:szCs w:val="32"/>
          <w14:textFill>
            <w14:solidFill>
              <w14:schemeClr w14:val="tx1"/>
            </w14:solidFill>
          </w14:textFill>
        </w:rPr>
        <w:t>），深入查找薄弱环节，坚决整治违规设置妨碍货车通行的道路限高限宽设施和检查卡点，实现违规设施和卡点全面清除、保留设施和卡点全面公示、新增设施和卡点全面规范、安全监管措施全面创新，不断改善道路通行条件，保障道路货运物流畅通，促进货运行业健康稳定发展，切实增强人民群众的获得感、幸福感、安全感。专项整治工作坚持以下原则：</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（一）坚持依法严治。</w:t>
      </w:r>
      <w:r>
        <w:rPr>
          <w:rFonts w:hint="default" w:ascii="Times New Roman" w:hAnsi="Times New Roman" w:eastAsia="仿宋_GB2312" w:cs="Times New Roman"/>
          <w:color w:val="000000" w:themeColor="text1"/>
          <w:w w:val="100"/>
          <w:sz w:val="32"/>
          <w:szCs w:val="32"/>
          <w14:textFill>
            <w14:solidFill>
              <w14:schemeClr w14:val="tx1"/>
            </w14:solidFill>
          </w14:textFill>
        </w:rPr>
        <w:t>严格按照有关法律法规和技术标准，对违规设置的坚决拆除取缔，依法保留的精准分类管理，新增设置的严格审批把关，确保路网畅通。</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（二）坚持标本兼治。</w:t>
      </w:r>
      <w:r>
        <w:rPr>
          <w:rFonts w:hint="default" w:ascii="Times New Roman" w:hAnsi="Times New Roman" w:eastAsia="仿宋_GB2312" w:cs="Times New Roman"/>
          <w:color w:val="000000" w:themeColor="text1"/>
          <w:w w:val="100"/>
          <w:sz w:val="32"/>
          <w:szCs w:val="32"/>
          <w14:textFill>
            <w14:solidFill>
              <w14:schemeClr w14:val="tx1"/>
            </w14:solidFill>
          </w14:textFill>
        </w:rPr>
        <w:t>从全</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县</w:t>
      </w:r>
      <w:r>
        <w:rPr>
          <w:rFonts w:hint="default" w:ascii="Times New Roman" w:hAnsi="Times New Roman" w:eastAsia="仿宋_GB2312" w:cs="Times New Roman"/>
          <w:color w:val="000000" w:themeColor="text1"/>
          <w:w w:val="100"/>
          <w:sz w:val="32"/>
          <w:szCs w:val="32"/>
          <w14:textFill>
            <w14:solidFill>
              <w14:schemeClr w14:val="tx1"/>
            </w14:solidFill>
          </w14:textFill>
        </w:rPr>
        <w:t>发展角度，既立足当前、解决突出问题，又着眼长远、健全长效机制，统筹推进专项整治工作，兼顾安全监管和服务便民。</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（三）坚持社会共治。</w:t>
      </w:r>
      <w:r>
        <w:rPr>
          <w:rFonts w:hint="default" w:ascii="Times New Roman" w:hAnsi="Times New Roman" w:eastAsia="仿宋_GB2312" w:cs="Times New Roman"/>
          <w:color w:val="000000" w:themeColor="text1"/>
          <w:w w:val="100"/>
          <w:sz w:val="32"/>
          <w:szCs w:val="32"/>
          <w14:textFill>
            <w14:solidFill>
              <w14:schemeClr w14:val="tx1"/>
            </w14:solidFill>
          </w14:textFill>
        </w:rPr>
        <w:t>加强部门协作，强化社会监督，不断完善政府主抓、部门协作、纵横协调、全民参与的共治格局，确保整治到位，防止“反弹回潮”。</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（四）坚持创新慧治。</w:t>
      </w:r>
      <w:r>
        <w:rPr>
          <w:rFonts w:hint="default" w:ascii="Times New Roman" w:hAnsi="Times New Roman" w:eastAsia="仿宋_GB2312" w:cs="Times New Roman"/>
          <w:color w:val="000000" w:themeColor="text1"/>
          <w:w w:val="100"/>
          <w:sz w:val="32"/>
          <w:szCs w:val="32"/>
          <w14:textFill>
            <w14:solidFill>
              <w14:schemeClr w14:val="tx1"/>
            </w14:solidFill>
          </w14:textFill>
        </w:rPr>
        <w:t>坚持用发展的办法解决问题，不断推进技术、管理和服务创新，强化部门数据资源共享，增强远程精准监管能力，提升路网管理服务水平。</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r>
        <w:rPr>
          <w:rFonts w:hint="default" w:ascii="Times New Roman" w:hAnsi="Times New Roman" w:eastAsia="黑体" w:cs="Times New Roman"/>
          <w:color w:val="000000" w:themeColor="text1"/>
          <w:w w:val="100"/>
          <w:sz w:val="32"/>
          <w:szCs w:val="32"/>
          <w14:textFill>
            <w14:solidFill>
              <w14:schemeClr w14:val="tx1"/>
            </w14:solidFill>
          </w14:textFill>
        </w:rPr>
        <w:t>二、工作任务</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（一）强化全路网复核。</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各乡镇（街道）、交通运输、公安交警、生态环境、住房和城乡建设、行政执法部门</w:t>
      </w:r>
      <w:r>
        <w:rPr>
          <w:rFonts w:hint="default" w:ascii="Times New Roman" w:hAnsi="Times New Roman" w:eastAsia="仿宋_GB2312" w:cs="Times New Roman"/>
          <w:color w:val="000000" w:themeColor="text1"/>
          <w:w w:val="100"/>
          <w:sz w:val="32"/>
          <w:szCs w:val="32"/>
          <w14:textFill>
            <w14:solidFill>
              <w14:schemeClr w14:val="tx1"/>
            </w14:solidFill>
          </w14:textFill>
        </w:rPr>
        <w:t>要在2020年专项整治行动的基础上，对照“六个必须”标准，以汇总清单为基数，分别组织本行业相关单位开展“回头看”，对本行政区域公路和城市道路既有限高限宽设施和检查卡点开展拉网式、地毯式复查，确保不漏一处、不留隐患，重点核查五个方面内容：</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w w:val="100"/>
          <w:sz w:val="32"/>
          <w:szCs w:val="32"/>
          <w14:textFill>
            <w14:solidFill>
              <w14:schemeClr w14:val="tx1"/>
            </w14:solidFill>
          </w14:textFill>
        </w:rPr>
        <w:t>是否对违规设置的设施和卡点做到应拆尽拆</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w w:val="100"/>
          <w:sz w:val="32"/>
          <w:szCs w:val="32"/>
          <w14:textFill>
            <w14:solidFill>
              <w14:schemeClr w14:val="tx1"/>
            </w14:solidFill>
          </w14:textFill>
        </w:rPr>
        <w:t>是否对依法保留的设施全部设置公示牌</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w w:val="100"/>
          <w:sz w:val="32"/>
          <w:szCs w:val="32"/>
          <w14:textFill>
            <w14:solidFill>
              <w14:schemeClr w14:val="tx1"/>
            </w14:solidFill>
          </w14:textFill>
        </w:rPr>
        <w:t>是否存在违法新增或恢复设置设施和卡点等“反弹回潮”现象</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w w:val="100"/>
          <w:sz w:val="32"/>
          <w:szCs w:val="32"/>
          <w14:textFill>
            <w14:solidFill>
              <w14:schemeClr w14:val="tx1"/>
            </w14:solidFill>
          </w14:textFill>
        </w:rPr>
        <w:t>是否存在拆除限高限宽设施后又违规设置检查卡点的情况；</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w w:val="100"/>
          <w:sz w:val="32"/>
          <w:szCs w:val="32"/>
          <w14:textFill>
            <w14:solidFill>
              <w14:schemeClr w14:val="tx1"/>
            </w14:solidFill>
          </w14:textFill>
        </w:rPr>
        <w:t>是否存在虚报瞒报、弄虚作假、消极怠工、拒不配合的情况。</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楷体_GB2312" w:cs="Times New Roman"/>
          <w:b/>
          <w:bCs/>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根据复核结果，更新汇总清单，形成问题清单（附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件</w:t>
      </w:r>
      <w:r>
        <w:rPr>
          <w:rFonts w:hint="default" w:ascii="Times New Roman" w:hAnsi="Times New Roman" w:eastAsia="仿宋_GB2312" w:cs="Times New Roman"/>
          <w:color w:val="000000" w:themeColor="text1"/>
          <w:w w:val="100"/>
          <w:sz w:val="32"/>
          <w:szCs w:val="32"/>
          <w14:textFill>
            <w14:solidFill>
              <w14:schemeClr w14:val="tx1"/>
            </w14:solidFill>
          </w14:textFill>
        </w:rPr>
        <w:t>2）后，报送</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交通运输</w:t>
      </w:r>
      <w:r>
        <w:rPr>
          <w:rFonts w:hint="default" w:ascii="Times New Roman" w:hAnsi="Times New Roman" w:eastAsia="仿宋_GB2312" w:cs="Times New Roman"/>
          <w:color w:val="000000" w:themeColor="text1"/>
          <w:w w:val="100"/>
          <w:sz w:val="32"/>
          <w:szCs w:val="32"/>
          <w14:textFill>
            <w14:solidFill>
              <w14:schemeClr w14:val="tx1"/>
            </w14:solidFill>
          </w14:textFill>
        </w:rPr>
        <w:t>主管部门。</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（二）明确职责分工。</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各乡镇（街道）、交通运输、公安交警、生态环境、住房和城乡建设、行政执法部门</w:t>
      </w:r>
      <w:r>
        <w:rPr>
          <w:rFonts w:hint="default" w:ascii="Times New Roman" w:hAnsi="Times New Roman" w:eastAsia="仿宋_GB2312" w:cs="Times New Roman"/>
          <w:color w:val="000000" w:themeColor="text1"/>
          <w:w w:val="100"/>
          <w:sz w:val="32"/>
          <w:szCs w:val="32"/>
          <w14:textFill>
            <w14:solidFill>
              <w14:schemeClr w14:val="tx1"/>
            </w14:solidFill>
          </w14:textFill>
        </w:rPr>
        <w:t>按照“谁管养、谁负责，谁设置、谁清理”的原则具体负责整治工作。具体职责分工为：</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1.公安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部门具体负责整治以交通管控为名，在公路和城市道路上设置的限高限宽设施；以及违反法律法规规定，或未经批准，公安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部门在公路和城市道路上设置的承担行政检查、行政处罚的固定检查卡点。</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2.生态环境部门</w:t>
      </w:r>
      <w:r>
        <w:rPr>
          <w:rFonts w:hint="default" w:ascii="Times New Roman" w:hAnsi="Times New Roman" w:eastAsia="仿宋_GB2312" w:cs="Times New Roman"/>
          <w:color w:val="000000" w:themeColor="text1"/>
          <w:w w:val="100"/>
          <w:sz w:val="32"/>
          <w:szCs w:val="32"/>
          <w14:textFill>
            <w14:solidFill>
              <w14:schemeClr w14:val="tx1"/>
            </w14:solidFill>
          </w14:textFill>
        </w:rPr>
        <w:t>具体负责整治以污染防治为名，在公路和城市道路上设置的限高限宽设施和检查卡点。</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3.</w:t>
      </w:r>
      <w:r>
        <w:rPr>
          <w:rFonts w:hint="default" w:ascii="Times New Roman" w:hAnsi="Times New Roman" w:eastAsia="仿宋_GB2312" w:cs="Times New Roman"/>
          <w:color w:val="000000" w:themeColor="text1"/>
          <w:w w:val="100"/>
          <w:sz w:val="32"/>
          <w:szCs w:val="32"/>
          <w14:textFill>
            <w14:solidFill>
              <w14:schemeClr w14:val="tx1"/>
            </w14:solidFill>
          </w14:textFill>
        </w:rPr>
        <w:t>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行政执法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部门具体负责整治</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除</w:t>
      </w:r>
      <w:r>
        <w:rPr>
          <w:rFonts w:hint="default" w:ascii="Times New Roman" w:hAnsi="Times New Roman" w:eastAsia="仿宋_GB2312" w:cs="Times New Roman"/>
          <w:color w:val="000000" w:themeColor="text1"/>
          <w:w w:val="100"/>
          <w:sz w:val="32"/>
          <w:szCs w:val="32"/>
          <w14:textFill>
            <w14:solidFill>
              <w14:schemeClr w14:val="tx1"/>
            </w14:solidFill>
          </w14:textFill>
        </w:rPr>
        <w:t>符合《交通运输部</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、公安部、生态环境部、住房城乡建设部关于深入开展道路限高限宽设施和检查卡点专项整治行动的通知</w:t>
      </w:r>
      <w:r>
        <w:rPr>
          <w:rFonts w:hint="default" w:ascii="Times New Roman" w:hAnsi="Times New Roman" w:eastAsia="仿宋_GB2312" w:cs="Times New Roman"/>
          <w:color w:val="000000" w:themeColor="text1"/>
          <w:w w:val="100"/>
          <w:sz w:val="32"/>
          <w:szCs w:val="32"/>
          <w14:textFill>
            <w14:solidFill>
              <w14:schemeClr w14:val="tx1"/>
            </w14:solidFill>
          </w14:textFill>
        </w:rPr>
        <w:t>》（交公路函〔</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2020</w:t>
      </w:r>
      <w:r>
        <w:rPr>
          <w:rFonts w:hint="default" w:ascii="Times New Roman" w:hAnsi="Times New Roman" w:eastAsia="仿宋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813号</w:t>
      </w:r>
      <w:r>
        <w:rPr>
          <w:rFonts w:hint="default" w:ascii="Times New Roman" w:hAnsi="Times New Roman" w:eastAsia="仿宋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要求外，在城市道路上设置的侵入建筑界限的限高限宽设施；除</w:t>
      </w:r>
      <w:r>
        <w:rPr>
          <w:rFonts w:hint="default" w:ascii="Times New Roman" w:hAnsi="Times New Roman" w:eastAsia="仿宋_GB2312" w:cs="Times New Roman"/>
          <w:color w:val="000000" w:themeColor="text1"/>
          <w:w w:val="100"/>
          <w:sz w:val="32"/>
          <w:szCs w:val="32"/>
          <w14:textFill>
            <w14:solidFill>
              <w14:schemeClr w14:val="tx1"/>
            </w14:solidFill>
          </w14:textFill>
        </w:rPr>
        <w:t>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sz w:val="32"/>
          <w:szCs w:val="32"/>
          <w14:textFill>
            <w14:solidFill>
              <w14:schemeClr w14:val="tx1"/>
            </w14:solidFill>
          </w14:textFill>
        </w:rPr>
        <w:t>、动物防疫部门</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之外，其他部门在城市道路上设置的检查卡点</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以及</w:t>
      </w:r>
      <w:r>
        <w:rPr>
          <w:rFonts w:hint="default" w:ascii="Times New Roman" w:hAnsi="Times New Roman" w:eastAsia="仿宋_GB2312" w:cs="Times New Roman"/>
          <w:color w:val="000000" w:themeColor="text1"/>
          <w:w w:val="100"/>
          <w:sz w:val="32"/>
          <w:szCs w:val="32"/>
          <w14:textFill>
            <w14:solidFill>
              <w14:schemeClr w14:val="tx1"/>
            </w14:solidFill>
          </w14:textFill>
        </w:rPr>
        <w:t>违反法律法规规定，或未经批准，交通运输、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sz w:val="32"/>
          <w:szCs w:val="32"/>
          <w14:textFill>
            <w14:solidFill>
              <w14:schemeClr w14:val="tx1"/>
            </w14:solidFill>
          </w14:textFill>
        </w:rPr>
        <w:t>、动物防疫部门在城市道路上设置的承担行政检查、行政处罚的固定检查卡点</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，负责抄告反馈</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4.交通运输部门具体负责整治</w:t>
      </w:r>
      <w:r>
        <w:rPr>
          <w:rFonts w:hint="default" w:ascii="Times New Roman" w:hAnsi="Times New Roman" w:eastAsia="仿宋_GB2312" w:cs="Times New Roman"/>
          <w:color w:val="000000" w:themeColor="text1"/>
          <w:w w:val="100"/>
          <w:sz w:val="32"/>
          <w:szCs w:val="32"/>
          <w14:textFill>
            <w14:solidFill>
              <w14:schemeClr w14:val="tx1"/>
            </w14:solidFill>
          </w14:textFill>
        </w:rPr>
        <w:t>除符合《交通运输部</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 xml:space="preserve"> 公安部 生态环境部 住房城乡建设部关于深入开展道路限高限宽设施和检查卡点专项整治行动的通知</w:t>
      </w:r>
      <w:r>
        <w:rPr>
          <w:rFonts w:hint="default" w:ascii="Times New Roman" w:hAnsi="Times New Roman" w:eastAsia="仿宋_GB2312" w:cs="Times New Roman"/>
          <w:color w:val="000000" w:themeColor="text1"/>
          <w:w w:val="100"/>
          <w:sz w:val="32"/>
          <w:szCs w:val="32"/>
          <w14:textFill>
            <w14:solidFill>
              <w14:schemeClr w14:val="tx1"/>
            </w14:solidFill>
          </w14:textFill>
        </w:rPr>
        <w:t>》（交公路函〔</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2020</w:t>
      </w:r>
      <w:r>
        <w:rPr>
          <w:rFonts w:hint="default" w:ascii="Times New Roman" w:hAnsi="Times New Roman" w:eastAsia="仿宋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813号</w:t>
      </w:r>
      <w:r>
        <w:rPr>
          <w:rFonts w:hint="default" w:ascii="Times New Roman" w:hAnsi="Times New Roman" w:eastAsia="仿宋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要求外，在国道、省道、县道上设置的侵入建筑限界的限高限宽设施</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p>
    <w:p>
      <w:pPr>
        <w:pStyle w:val="34"/>
        <w:keepNext w:val="0"/>
        <w:keepLines w:val="0"/>
        <w:pageBreakBefore w:val="0"/>
        <w:widowControl w:val="0"/>
        <w:kinsoku/>
        <w:wordWrap/>
        <w:overflowPunct w:val="0"/>
        <w:topLinePunct w:val="0"/>
        <w:autoSpaceDE/>
        <w:autoSpaceDN/>
        <w:bidi w:val="0"/>
        <w:adjustRightInd/>
        <w:snapToGrid/>
        <w:spacing w:after="0" w:afterLines="0"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5.乡镇、社区</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违反《公路安全保护条例》规定，未经县级交通运输主管部门或者乡</w:t>
      </w:r>
      <w:r>
        <w:rPr>
          <w:rFonts w:hint="eastAsia" w:ascii="Times New Roman" w:hAnsi="Times New Roman" w:eastAsia="仿宋_GB2312" w:cs="Times New Roman"/>
          <w:color w:val="000000" w:themeColor="text1"/>
          <w:w w:val="100"/>
          <w:sz w:val="32"/>
          <w:szCs w:val="32"/>
          <w:lang w:val="en-US" w:eastAsia="zh-CN"/>
          <w14:textFill>
            <w14:solidFill>
              <w14:schemeClr w14:val="tx1"/>
            </w14:solidFill>
          </w14:textFill>
        </w:rPr>
        <w:t>镇</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级人民政府批准，擅自在乡道、村道上设置的限高限宽设施；在乡道、村道上设置的影响卫生急救和消防车辆应急通行的、存在安全隐患的（包括锈蚀严重、视线不良、设置位置纵坡过大、未配套设置的交通标志、标线和视线诱导设施等）、用于向通行车辆收费的限高限宽设施；除</w:t>
      </w:r>
      <w:r>
        <w:rPr>
          <w:rFonts w:hint="default" w:ascii="Times New Roman" w:hAnsi="Times New Roman" w:eastAsia="仿宋_GB2312" w:cs="Times New Roman"/>
          <w:color w:val="000000" w:themeColor="text1"/>
          <w:w w:val="100"/>
          <w:sz w:val="32"/>
          <w:szCs w:val="32"/>
          <w14:textFill>
            <w14:solidFill>
              <w14:schemeClr w14:val="tx1"/>
            </w14:solidFill>
          </w14:textFill>
        </w:rPr>
        <w:t>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sz w:val="32"/>
          <w:szCs w:val="32"/>
          <w14:textFill>
            <w14:solidFill>
              <w14:schemeClr w14:val="tx1"/>
            </w14:solidFill>
          </w14:textFill>
        </w:rPr>
        <w:t>、动物防疫部门</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之外，其他部门在公路上设置的检查卡点</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以及</w:t>
      </w:r>
      <w:r>
        <w:rPr>
          <w:rFonts w:hint="default" w:ascii="Times New Roman" w:hAnsi="Times New Roman" w:eastAsia="仿宋_GB2312" w:cs="Times New Roman"/>
          <w:color w:val="000000" w:themeColor="text1"/>
          <w:w w:val="100"/>
          <w:sz w:val="32"/>
          <w:szCs w:val="32"/>
          <w14:textFill>
            <w14:solidFill>
              <w14:schemeClr w14:val="tx1"/>
            </w14:solidFill>
          </w14:textFill>
        </w:rPr>
        <w:t>违反法律法规规定，或未经批准，交通运输、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sz w:val="32"/>
          <w:szCs w:val="32"/>
          <w14:textFill>
            <w14:solidFill>
              <w14:schemeClr w14:val="tx1"/>
            </w14:solidFill>
          </w14:textFill>
        </w:rPr>
        <w:t>、动物防疫部门在</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公路</w:t>
      </w:r>
      <w:r>
        <w:rPr>
          <w:rFonts w:hint="default" w:ascii="Times New Roman" w:hAnsi="Times New Roman" w:eastAsia="仿宋_GB2312" w:cs="Times New Roman"/>
          <w:color w:val="000000" w:themeColor="text1"/>
          <w:w w:val="100"/>
          <w:sz w:val="32"/>
          <w:szCs w:val="32"/>
          <w14:textFill>
            <w14:solidFill>
              <w14:schemeClr w14:val="tx1"/>
            </w14:solidFill>
          </w14:textFill>
        </w:rPr>
        <w:t>上设置的承担行政检查、行政处罚的固定检查卡点</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，负责抄告反馈</w:t>
      </w:r>
      <w:r>
        <w:rPr>
          <w:rFonts w:hint="default" w:ascii="Times New Roman" w:hAnsi="Times New Roman" w:eastAsia="仿宋_GB2312" w:cs="Times New Roman"/>
          <w:color w:val="000000" w:themeColor="text1"/>
          <w:w w:val="100"/>
          <w:sz w:val="32"/>
          <w:szCs w:val="32"/>
          <w:lang w:val="en-US"/>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（三）强化全清单整治。</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各乡镇（街道）、交通运输、公安交警、生态环境、住房和城乡建设、行政执法部门</w:t>
      </w:r>
      <w:r>
        <w:rPr>
          <w:rFonts w:hint="default" w:ascii="Times New Roman" w:hAnsi="Times New Roman" w:eastAsia="仿宋_GB2312" w:cs="Times New Roman"/>
          <w:color w:val="000000" w:themeColor="text1"/>
          <w:w w:val="100"/>
          <w:sz w:val="32"/>
          <w:szCs w:val="32"/>
          <w14:textFill>
            <w14:solidFill>
              <w14:schemeClr w14:val="tx1"/>
            </w14:solidFill>
          </w14:textFill>
        </w:rPr>
        <w:t>要按照职责分工，分别对照问题清单，全面组织清理整治。切实做到“五个坚决”：</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1.坚决拆除未依法设置公示牌或设置主体不明确的限高限宽设施；</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2.坚决整治违法新增或恢复设置设施和卡点的行为；</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3.坚决纠正设施拆除后又违规设置卡点的行为；</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4.坚决查处虚报瞒报、弄虚作假的单位或个人；</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14:textFill>
            <w14:solidFill>
              <w14:schemeClr w14:val="tx1"/>
            </w14:solidFill>
          </w14:textFill>
        </w:rPr>
        <w:t>5.坚决曝光消极怠工、拒不配合的单位或个人。</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（四）强化全社会监督。</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各乡镇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部门按要求继续做好汇总清单公示工作，接受全社会监督。要充分发挥行业检查、协会评估、公众举报、通报抄告、反馈评价等“五个机制”（附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件</w:t>
      </w:r>
      <w:r>
        <w:rPr>
          <w:rFonts w:hint="default" w:ascii="Times New Roman" w:hAnsi="Times New Roman" w:eastAsia="仿宋_GB2312" w:cs="Times New Roman"/>
          <w:color w:val="000000" w:themeColor="text1"/>
          <w:w w:val="100"/>
          <w:sz w:val="32"/>
          <w:szCs w:val="32"/>
          <w14:textFill>
            <w14:solidFill>
              <w14:schemeClr w14:val="tx1"/>
            </w14:solidFill>
          </w14:textFill>
        </w:rPr>
        <w:t>3），组织开展监督检查、明察暗访等活动，检查整治</w:t>
      </w:r>
      <w:r>
        <w:rPr>
          <w:rFonts w:hint="eastAsia" w:eastAsia="仿宋_GB2312" w:cs="Times New Roman"/>
          <w:color w:val="000000" w:themeColor="text1"/>
          <w:w w:val="100"/>
          <w:sz w:val="32"/>
          <w:szCs w:val="32"/>
          <w:lang w:eastAsia="zh-CN"/>
          <w14:textFill>
            <w14:solidFill>
              <w14:schemeClr w14:val="tx1"/>
            </w14:solidFill>
          </w14:textFill>
        </w:rPr>
        <w:t>效</w:t>
      </w:r>
      <w:r>
        <w:rPr>
          <w:rFonts w:hint="default" w:ascii="Times New Roman" w:hAnsi="Times New Roman" w:eastAsia="仿宋_GB2312" w:cs="Times New Roman"/>
          <w:color w:val="000000" w:themeColor="text1"/>
          <w:w w:val="100"/>
          <w:sz w:val="32"/>
          <w:szCs w:val="32"/>
          <w14:textFill>
            <w14:solidFill>
              <w14:schemeClr w14:val="tx1"/>
            </w14:solidFill>
          </w14:textFill>
        </w:rPr>
        <w:t>果。充分发挥行业协会、货运企业、货车司机等监督作用，通过随机抽检、实地查看方式，评估整治效果。在依托本行业现有服务监督、投诉举报渠道的基础上，引导公众使用全国统一的投诉举报小程序（附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件</w:t>
      </w:r>
      <w:r>
        <w:rPr>
          <w:rFonts w:hint="default" w:ascii="Times New Roman" w:hAnsi="Times New Roman" w:eastAsia="仿宋_GB2312" w:cs="Times New Roman"/>
          <w:color w:val="000000" w:themeColor="text1"/>
          <w:w w:val="100"/>
          <w:sz w:val="32"/>
          <w:szCs w:val="32"/>
          <w14:textFill>
            <w14:solidFill>
              <w14:schemeClr w14:val="tx1"/>
            </w14:solidFill>
          </w14:textFill>
        </w:rPr>
        <w:t>4），及时受理投诉举报，一经发现违规设置问题，对于本行业的，要按要求严肃查处，绝不姑息；对于其他行业的，及时抄告相关部门核实处置，确保群众投诉件件有着落、事事有回音、结果可评价。</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b/>
          <w:bCs/>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（五）强化全过程规范。</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各乡镇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按照有关技术要求和审批程序，与相关单位共同研究做好公路、城市道路限高限宽设施和检查卡点规范设置工作，对于依法保留但不符合要求的，要进一步完善和规范；对于在现有公路、城市道路上确需新增的，除符合交通运输部办公厅关于印发《公路限高限宽设施和检查卡点设置技术指南（试行）》的通知（交办公路函〔2021〕394号）要求外，要严格按照相关规定设置，并通过系统层层审核，同时明确货车绕行路线；在公路设计阶段设计的，要遵守有关规定，纳入基本建设程序管理，严格落实“三同时”制度；</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落实公路变更城</w:t>
      </w:r>
      <w:r>
        <w:rPr>
          <w:rFonts w:hint="default" w:ascii="Times New Roman" w:hAnsi="Times New Roman" w:eastAsia="仿宋_GB2312" w:cs="Times New Roman"/>
          <w:color w:val="000000" w:themeColor="text1"/>
          <w:w w:val="100"/>
          <w:sz w:val="32"/>
          <w:szCs w:val="32"/>
          <w14:textFill>
            <w14:solidFill>
              <w14:schemeClr w14:val="tx1"/>
            </w14:solidFill>
          </w14:textFill>
        </w:rPr>
        <w:t>市道路路产路权和养护责任移交制度，合理确定公路和城市道路边界，梳理移交路段清单，明确公路绕城路线，规范移交程序，优化限行限速管理，统筹保障城市交通安全和公路干线畅通。公安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部门要按照有关要求，进一步优化城市配送车辆通行管理，最大限度便捷货车通行。生态环境部门要及时提供空气质量监测站点信息，配合交通运输、公安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部门做好相关工作。</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（六）强化全链条创新。</w:t>
      </w:r>
      <w:r>
        <w:rPr>
          <w:rFonts w:hint="default" w:ascii="Times New Roman" w:hAnsi="Times New Roman" w:eastAsia="仿宋_GB2312" w:cs="Times New Roman"/>
          <w:color w:val="000000" w:themeColor="text1"/>
          <w:w w:val="100"/>
          <w:sz w:val="32"/>
          <w:szCs w:val="32"/>
          <w14:textFill>
            <w14:solidFill>
              <w14:schemeClr w14:val="tx1"/>
            </w14:solidFill>
          </w14:textFill>
        </w:rPr>
        <w:t>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充分利用信息化手段，积极推行“互联网+监管”，准确记录限高限宽设施和检查卡点位置、权属信息，科学合理布设电子抓拍、不停车检测、视频监控等技术监控设施，构建现代路网监控网络，加快推进部门数据交换和共享，提升大数据分析应用和远程精准监管能力。积极探索与第三方导航平台合作，强化限高限宽设施提示，防止误闯引发意外事故。</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r>
        <w:rPr>
          <w:rFonts w:hint="default" w:ascii="Times New Roman" w:hAnsi="Times New Roman" w:eastAsia="黑体" w:cs="Times New Roman"/>
          <w:color w:val="000000" w:themeColor="text1"/>
          <w:w w:val="100"/>
          <w:sz w:val="32"/>
          <w:szCs w:val="32"/>
          <w14:textFill>
            <w14:solidFill>
              <w14:schemeClr w14:val="tx1"/>
            </w14:solidFill>
          </w14:textFill>
        </w:rPr>
        <w:t>三、实施步骤</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（一）安排部署阶段</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2021年</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w w:val="100"/>
          <w:sz w:val="32"/>
          <w:szCs w:val="32"/>
          <w14:textFill>
            <w14:solidFill>
              <w14:schemeClr w14:val="tx1"/>
            </w14:solidFill>
          </w14:textFill>
        </w:rPr>
        <w:t>月</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3</w:t>
      </w:r>
      <w:r>
        <w:rPr>
          <w:rFonts w:hint="eastAsia" w:eastAsia="楷体_GB2312" w:cs="Times New Roman"/>
          <w:color w:val="000000" w:themeColor="text1"/>
          <w:w w:val="10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w w:val="100"/>
          <w:sz w:val="32"/>
          <w:szCs w:val="32"/>
          <w14:textFill>
            <w14:solidFill>
              <w14:schemeClr w14:val="tx1"/>
            </w14:solidFill>
          </w14:textFill>
        </w:rPr>
        <w:t>日前</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结合本地实际，按照职责分工，制定具体实施方案，细化行业检查、协会评估、公众举报、通报抄告、反馈评价机制，切实抓好落实，确保取得实效。</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（二）全面整治阶段</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2021年</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w w:val="100"/>
          <w:sz w:val="32"/>
          <w:szCs w:val="32"/>
          <w14:textFill>
            <w14:solidFill>
              <w14:schemeClr w14:val="tx1"/>
            </w14:solidFill>
          </w14:textFill>
        </w:rPr>
        <w:t>月</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w w:val="100"/>
          <w:sz w:val="32"/>
          <w:szCs w:val="32"/>
          <w14:textFill>
            <w14:solidFill>
              <w14:schemeClr w14:val="tx1"/>
            </w14:solidFill>
          </w14:textFill>
        </w:rPr>
        <w:t>日至</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w w:val="100"/>
          <w:sz w:val="32"/>
          <w:szCs w:val="32"/>
          <w14:textFill>
            <w14:solidFill>
              <w14:schemeClr w14:val="tx1"/>
            </w14:solidFill>
          </w14:textFill>
        </w:rPr>
        <w:t>月</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20</w:t>
      </w:r>
      <w:r>
        <w:rPr>
          <w:rFonts w:hint="default" w:ascii="Times New Roman" w:hAnsi="Times New Roman" w:eastAsia="楷体_GB2312" w:cs="Times New Roman"/>
          <w:color w:val="000000" w:themeColor="text1"/>
          <w:w w:val="100"/>
          <w:sz w:val="32"/>
          <w:szCs w:val="32"/>
          <w14:textFill>
            <w14:solidFill>
              <w14:schemeClr w14:val="tx1"/>
            </w14:solidFill>
          </w14:textFill>
        </w:rPr>
        <w:t>日</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分行业开展整治工作，全面拆除取缔违规设施和卡点，保留设施全面安装公示牌。形成问题及整治清单。</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（三）监督完善阶段</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2021年</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w w:val="100"/>
          <w:sz w:val="32"/>
          <w:szCs w:val="32"/>
          <w14:textFill>
            <w14:solidFill>
              <w14:schemeClr w14:val="tx1"/>
            </w14:solidFill>
          </w14:textFill>
        </w:rPr>
        <w:t>月</w:t>
      </w:r>
      <w:r>
        <w:rPr>
          <w:rFonts w:hint="default" w:ascii="Times New Roman" w:hAnsi="Times New Roman" w:eastAsia="楷体_GB2312" w:cs="Times New Roman"/>
          <w:color w:val="000000" w:themeColor="text1"/>
          <w:w w:val="100"/>
          <w:sz w:val="32"/>
          <w:szCs w:val="32"/>
          <w:lang w:val="en-US" w:eastAsia="zh-CN"/>
          <w14:textFill>
            <w14:solidFill>
              <w14:schemeClr w14:val="tx1"/>
            </w14:solidFill>
          </w14:textFill>
        </w:rPr>
        <w:t>20</w:t>
      </w:r>
      <w:r>
        <w:rPr>
          <w:rFonts w:hint="default" w:ascii="Times New Roman" w:hAnsi="Times New Roman" w:eastAsia="楷体_GB2312" w:cs="Times New Roman"/>
          <w:color w:val="000000" w:themeColor="text1"/>
          <w:w w:val="100"/>
          <w:sz w:val="32"/>
          <w:szCs w:val="32"/>
          <w14:textFill>
            <w14:solidFill>
              <w14:schemeClr w14:val="tx1"/>
            </w14:solidFill>
          </w14:textFill>
        </w:rPr>
        <w:t>日至9月30日</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分行业全面公示依法保留设施和卡点，强化社会监督，开展行业检查、部门互查、协会评估、群众举报等活动。定期报送投诉举报及处理反馈情况。</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b/>
          <w:bCs/>
          <w:color w:val="000000" w:themeColor="text1"/>
          <w:w w:val="100"/>
          <w:sz w:val="32"/>
          <w:szCs w:val="32"/>
          <w:highlight w:val="yellow"/>
          <w14:textFill>
            <w14:solidFill>
              <w14:schemeClr w14:val="tx1"/>
            </w14:solidFill>
          </w14:textFill>
        </w:rPr>
      </w:pPr>
      <w:r>
        <w:rPr>
          <w:rFonts w:hint="default" w:ascii="Times New Roman" w:hAnsi="Times New Roman" w:eastAsia="楷体_GB2312" w:cs="Times New Roman"/>
          <w:color w:val="000000" w:themeColor="text1"/>
          <w:w w:val="100"/>
          <w:sz w:val="32"/>
          <w:szCs w:val="32"/>
          <w14:textFill>
            <w14:solidFill>
              <w14:schemeClr w14:val="tx1"/>
            </w14:solidFill>
          </w14:textFill>
        </w:rPr>
        <w:t>（四）总结评估阶段</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2021年10月1日至10月31日</w:t>
      </w:r>
      <w:r>
        <w:rPr>
          <w:rFonts w:hint="eastAsia" w:eastAsia="楷体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w w:val="100"/>
          <w:sz w:val="32"/>
          <w:szCs w:val="32"/>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分行业做好总结评估，研究建立相关制度，会同相关部门健全长效机制，按照行业归口分别报送。</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r>
        <w:rPr>
          <w:rFonts w:hint="default" w:ascii="Times New Roman" w:hAnsi="Times New Roman" w:eastAsia="黑体" w:cs="Times New Roman"/>
          <w:color w:val="000000" w:themeColor="text1"/>
          <w:w w:val="100"/>
          <w:sz w:val="32"/>
          <w:szCs w:val="32"/>
          <w14:textFill>
            <w14:solidFill>
              <w14:schemeClr w14:val="tx1"/>
            </w14:solidFill>
          </w14:textFill>
        </w:rPr>
        <w:t>四、保障措施</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文星楷体" w:cs="Times New Roman"/>
          <w:color w:val="000000" w:themeColor="text1"/>
          <w:w w:val="100"/>
          <w:sz w:val="32"/>
          <w:szCs w:val="32"/>
          <w14:textFill>
            <w14:solidFill>
              <w14:schemeClr w14:val="tx1"/>
            </w14:solidFill>
          </w14:textFill>
        </w:rPr>
        <w:t>（一）加强组织领导。</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各乡镇（街道）、交通运输、公安交警、生态环境、住房和城乡建设、行政执法部门</w:t>
      </w:r>
      <w:r>
        <w:rPr>
          <w:rFonts w:hint="default" w:ascii="Times New Roman" w:hAnsi="Times New Roman" w:eastAsia="仿宋_GB2312" w:cs="Times New Roman"/>
          <w:color w:val="000000" w:themeColor="text1"/>
          <w:w w:val="100"/>
          <w:sz w:val="32"/>
          <w:szCs w:val="32"/>
          <w14:textFill>
            <w14:solidFill>
              <w14:schemeClr w14:val="tx1"/>
            </w14:solidFill>
          </w14:textFill>
        </w:rPr>
        <w:t>要在</w:t>
      </w:r>
      <w:r>
        <w:rPr>
          <w:rFonts w:hint="eastAsia" w:eastAsia="仿宋_GB2312" w:cs="Times New Roman"/>
          <w:color w:val="000000" w:themeColor="text1"/>
          <w:w w:val="100"/>
          <w:sz w:val="32"/>
          <w:szCs w:val="32"/>
          <w:lang w:eastAsia="zh-CN"/>
          <w14:textFill>
            <w14:solidFill>
              <w14:schemeClr w14:val="tx1"/>
            </w14:solidFill>
          </w14:textFill>
        </w:rPr>
        <w:t>县</w:t>
      </w:r>
      <w:r>
        <w:rPr>
          <w:rFonts w:hint="default" w:ascii="Times New Roman" w:hAnsi="Times New Roman" w:eastAsia="仿宋_GB2312" w:cs="Times New Roman"/>
          <w:color w:val="000000" w:themeColor="text1"/>
          <w:w w:val="100"/>
          <w:sz w:val="32"/>
          <w:szCs w:val="32"/>
          <w14:textFill>
            <w14:solidFill>
              <w14:schemeClr w14:val="tx1"/>
            </w14:solidFill>
          </w14:textFill>
        </w:rPr>
        <w:t>委、</w:t>
      </w:r>
      <w:r>
        <w:rPr>
          <w:rFonts w:hint="eastAsia" w:eastAsia="仿宋_GB2312" w:cs="Times New Roman"/>
          <w:color w:val="000000" w:themeColor="text1"/>
          <w:w w:val="100"/>
          <w:sz w:val="32"/>
          <w:szCs w:val="32"/>
          <w:lang w:eastAsia="zh-CN"/>
          <w14:textFill>
            <w14:solidFill>
              <w14:schemeClr w14:val="tx1"/>
            </w14:solidFill>
          </w14:textFill>
        </w:rPr>
        <w:t>县</w:t>
      </w:r>
      <w:r>
        <w:rPr>
          <w:rFonts w:hint="default" w:ascii="Times New Roman" w:hAnsi="Times New Roman" w:eastAsia="仿宋_GB2312" w:cs="Times New Roman"/>
          <w:color w:val="000000" w:themeColor="text1"/>
          <w:w w:val="100"/>
          <w:sz w:val="32"/>
          <w:szCs w:val="32"/>
          <w14:textFill>
            <w14:solidFill>
              <w14:schemeClr w14:val="tx1"/>
            </w14:solidFill>
          </w14:textFill>
        </w:rPr>
        <w:t>政府的统一领导下，成立工作专班，统筹组织开展整治工作。加强部门沟通协作，切实扛起整治工作主体责任，坚决反对形式主义，对在整治工作中走过场、做样子的相关责任人，一律严肃问责。</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文星楷体" w:cs="Times New Roman"/>
          <w:color w:val="000000" w:themeColor="text1"/>
          <w:w w:val="100"/>
          <w:sz w:val="32"/>
          <w:szCs w:val="32"/>
          <w14:textFill>
            <w14:solidFill>
              <w14:schemeClr w14:val="tx1"/>
            </w14:solidFill>
          </w14:textFill>
        </w:rPr>
        <w:t>（二）加强技术指导。</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各乡镇、</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委托技术支持单位，为区域内整治工作提供技术指导；利用统一开发的信息采集、审核、投诉等系统，全面记录本行业整治工作全过程，发现违法违规问题，按程序回溯倒查，依法追究相关单位和人员责任。建立道路限高限宽设施和检查卡点信息动态调整机制，定期对设施和卡点信息进行调整。</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文星楷体" w:cs="Times New Roman"/>
          <w:color w:val="000000" w:themeColor="text1"/>
          <w:w w:val="100"/>
          <w:sz w:val="32"/>
          <w:szCs w:val="32"/>
          <w14:textFill>
            <w14:solidFill>
              <w14:schemeClr w14:val="tx1"/>
            </w14:solidFill>
          </w14:textFill>
        </w:rPr>
        <w:t>（三）加强宣传引导。</w:t>
      </w:r>
      <w:r>
        <w:rPr>
          <w:rFonts w:hint="default" w:ascii="Times New Roman" w:hAnsi="Times New Roman" w:eastAsia="仿宋_GB2312" w:cs="Times New Roman"/>
          <w:color w:val="000000" w:themeColor="text1"/>
          <w:w w:val="100"/>
          <w:sz w:val="32"/>
          <w:szCs w:val="32"/>
          <w14:textFill>
            <w14:solidFill>
              <w14:schemeClr w14:val="tx1"/>
            </w14:solidFill>
          </w14:textFill>
        </w:rPr>
        <w:t>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部门要在用好传统媒体</w:t>
      </w:r>
      <w:r>
        <w:rPr>
          <w:rFonts w:hint="eastAsia" w:eastAsia="仿宋_GB2312" w:cs="Times New Roman"/>
          <w:color w:val="000000" w:themeColor="text1"/>
          <w:w w:val="100"/>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w w:val="100"/>
          <w:sz w:val="32"/>
          <w:szCs w:val="32"/>
          <w14:textFill>
            <w14:solidFill>
              <w14:schemeClr w14:val="tx1"/>
            </w14:solidFill>
          </w14:textFill>
        </w:rPr>
        <w:t>基础上，充分发挥新媒体力量，大力宣传整治目的和意义，及时展示整治工作效果，坚决曝光反面典型案例，形成强大声势，最大限度争取群众理解和支持，营造良好舆论氛围。</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pPr>
      <w:r>
        <w:rPr>
          <w:rFonts w:hint="default" w:ascii="Times New Roman" w:hAnsi="Times New Roman" w:eastAsia="文星楷体" w:cs="Times New Roman"/>
          <w:color w:val="000000" w:themeColor="text1"/>
          <w:w w:val="100"/>
          <w:sz w:val="32"/>
          <w:szCs w:val="32"/>
          <w14:textFill>
            <w14:solidFill>
              <w14:schemeClr w14:val="tx1"/>
            </w14:solidFill>
          </w14:textFill>
        </w:rPr>
        <w:t>（四）加强信息报送。</w:t>
      </w:r>
      <w:r>
        <w:rPr>
          <w:rFonts w:hint="default" w:ascii="Times New Roman" w:hAnsi="Times New Roman" w:eastAsia="仿宋_GB2312" w:cs="Times New Roman"/>
          <w:color w:val="000000" w:themeColor="text1"/>
          <w:w w:val="100"/>
          <w:sz w:val="32"/>
          <w:szCs w:val="32"/>
          <w14:textFill>
            <w14:solidFill>
              <w14:schemeClr w14:val="tx1"/>
            </w14:solidFill>
          </w14:textFill>
        </w:rPr>
        <w:t>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交通运输、公安</w:t>
      </w:r>
      <w:r>
        <w:rPr>
          <w:rFonts w:hint="eastAsia" w:eastAsia="仿宋_GB2312" w:cs="Times New Roman"/>
          <w:color w:val="000000" w:themeColor="text1"/>
          <w:w w:val="100"/>
          <w:sz w:val="32"/>
          <w:szCs w:val="32"/>
          <w:lang w:eastAsia="zh-CN"/>
          <w14:textFill>
            <w14:solidFill>
              <w14:schemeClr w14:val="tx1"/>
            </w14:solidFill>
          </w14:textFill>
        </w:rPr>
        <w:t>交警</w:t>
      </w:r>
      <w:r>
        <w:rPr>
          <w:rFonts w:hint="default" w:ascii="Times New Roman" w:hAnsi="Times New Roman" w:eastAsia="仿宋_GB2312" w:cs="Times New Roman"/>
          <w:color w:val="000000" w:themeColor="text1"/>
          <w:w w:val="100"/>
          <w:sz w:val="32"/>
          <w:szCs w:val="32"/>
          <w14:textFill>
            <w14:solidFill>
              <w14:schemeClr w14:val="tx1"/>
            </w14:solidFill>
          </w14:textFill>
        </w:rPr>
        <w:t>、生态环境、住房和城乡建设</w:t>
      </w:r>
      <w:r>
        <w:rPr>
          <w:rFonts w:hint="default" w:ascii="Times New Roman" w:hAnsi="Times New Roman" w:eastAsia="仿宋_GB2312" w:cs="Times New Roman"/>
          <w:color w:val="000000" w:themeColor="text1"/>
          <w:w w:val="10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w w:val="100"/>
          <w:sz w:val="32"/>
          <w:szCs w:val="32"/>
          <w14:textFill>
            <w14:solidFill>
              <w14:schemeClr w14:val="tx1"/>
            </w14:solidFill>
          </w14:textFill>
        </w:rPr>
        <w:t>部门要明确专人负责信息报送工作（附</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件</w:t>
      </w:r>
      <w:r>
        <w:rPr>
          <w:rFonts w:hint="default" w:ascii="Times New Roman" w:hAnsi="Times New Roman" w:eastAsia="仿宋_GB2312" w:cs="Times New Roman"/>
          <w:color w:val="000000" w:themeColor="text1"/>
          <w:w w:val="100"/>
          <w:sz w:val="32"/>
          <w:szCs w:val="32"/>
          <w14:textFill>
            <w14:solidFill>
              <w14:schemeClr w14:val="tx1"/>
            </w14:solidFill>
          </w14:textFill>
        </w:rPr>
        <w:t>5）。自本方案印发之日起至监督完善阶段结束，每周</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三</w:t>
      </w:r>
      <w:r>
        <w:rPr>
          <w:rFonts w:hint="default" w:ascii="Times New Roman" w:hAnsi="Times New Roman" w:eastAsia="仿宋_GB2312" w:cs="Times New Roman"/>
          <w:color w:val="000000" w:themeColor="text1"/>
          <w:w w:val="100"/>
          <w:sz w:val="32"/>
          <w:szCs w:val="32"/>
          <w14:textFill>
            <w14:solidFill>
              <w14:schemeClr w14:val="tx1"/>
            </w14:solidFill>
          </w14:textFill>
        </w:rPr>
        <w:t>17时前报送本周工作进展情况。</w:t>
      </w: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附件：1</w:t>
      </w:r>
      <w:r>
        <w:rPr>
          <w:rFonts w:hint="default" w:ascii="Times New Roman" w:hAnsi="Times New Roman" w:eastAsia="微软雅黑"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“六个必须”标准</w:t>
      </w:r>
    </w:p>
    <w:p>
      <w:pPr>
        <w:keepNext w:val="0"/>
        <w:keepLines w:val="0"/>
        <w:pageBreakBefore w:val="0"/>
        <w:widowControl w:val="0"/>
        <w:kinsoku/>
        <w:wordWrap/>
        <w:overflowPunct w:val="0"/>
        <w:topLinePunct w:val="0"/>
        <w:autoSpaceDE/>
        <w:autoSpaceDN/>
        <w:bidi w:val="0"/>
        <w:adjustRightInd/>
        <w:snapToGrid/>
        <w:spacing w:line="600" w:lineRule="exact"/>
        <w:ind w:left="0" w:right="0" w:rightChars="0" w:firstLine="1600" w:firstLineChars="5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2</w:t>
      </w:r>
      <w:r>
        <w:rPr>
          <w:rFonts w:hint="default" w:ascii="Times New Roman" w:hAnsi="Times New Roman" w:eastAsia="微软雅黑"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道路限高限宽设施和检查卡点问题及整治清单</w:t>
      </w:r>
    </w:p>
    <w:p>
      <w:pPr>
        <w:keepNext w:val="0"/>
        <w:keepLines w:val="0"/>
        <w:pageBreakBefore w:val="0"/>
        <w:widowControl w:val="0"/>
        <w:kinsoku/>
        <w:wordWrap/>
        <w:overflowPunct w:val="0"/>
        <w:topLinePunct w:val="0"/>
        <w:autoSpaceDE/>
        <w:autoSpaceDN/>
        <w:bidi w:val="0"/>
        <w:adjustRightInd/>
        <w:snapToGrid/>
        <w:spacing w:line="600" w:lineRule="exact"/>
        <w:ind w:left="0" w:right="0" w:rightChars="0" w:firstLine="1600" w:firstLineChars="5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3</w:t>
      </w:r>
      <w:r>
        <w:rPr>
          <w:rFonts w:hint="default" w:ascii="Times New Roman" w:hAnsi="Times New Roman" w:eastAsia="微软雅黑"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五个机制</w:t>
      </w:r>
    </w:p>
    <w:p>
      <w:pPr>
        <w:keepNext w:val="0"/>
        <w:keepLines w:val="0"/>
        <w:pageBreakBefore w:val="0"/>
        <w:widowControl w:val="0"/>
        <w:kinsoku/>
        <w:wordWrap/>
        <w:overflowPunct w:val="0"/>
        <w:topLinePunct w:val="0"/>
        <w:autoSpaceDE/>
        <w:autoSpaceDN/>
        <w:bidi w:val="0"/>
        <w:adjustRightInd/>
        <w:snapToGrid/>
        <w:spacing w:line="600" w:lineRule="exact"/>
        <w:ind w:left="0" w:right="0" w:rightChars="0" w:firstLine="1600" w:firstLineChars="5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default" w:ascii="Times New Roman" w:hAnsi="Times New Roman" w:eastAsia="微软雅黑"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“前路无限”投诉举报小程序使用说明</w:t>
      </w:r>
    </w:p>
    <w:p>
      <w:pPr>
        <w:keepNext w:val="0"/>
        <w:keepLines w:val="0"/>
        <w:pageBreakBefore w:val="0"/>
        <w:widowControl w:val="0"/>
        <w:kinsoku/>
        <w:wordWrap/>
        <w:overflowPunct w:val="0"/>
        <w:topLinePunct w:val="0"/>
        <w:autoSpaceDE/>
        <w:autoSpaceDN/>
        <w:bidi w:val="0"/>
        <w:adjustRightInd/>
        <w:snapToGrid/>
        <w:spacing w:line="600" w:lineRule="exact"/>
        <w:ind w:left="0" w:right="0" w:rightChars="0" w:firstLine="1600" w:firstLineChars="500"/>
        <w:textAlignment w:val="auto"/>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5</w:t>
      </w:r>
      <w:r>
        <w:rPr>
          <w:rFonts w:hint="default" w:ascii="Times New Roman" w:hAnsi="Times New Roman" w:eastAsia="微软雅黑" w:cs="Times New Roman"/>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整治工作联络人名单</w:t>
      </w:r>
    </w:p>
    <w:p>
      <w:pPr>
        <w:keepNext w:val="0"/>
        <w:keepLines w:val="0"/>
        <w:pageBreakBefore w:val="0"/>
        <w:widowControl w:val="0"/>
        <w:kinsoku/>
        <w:wordWrap/>
        <w:overflowPunct w:val="0"/>
        <w:topLinePunct w:val="0"/>
        <w:autoSpaceDE/>
        <w:autoSpaceDN/>
        <w:bidi w:val="0"/>
        <w:adjustRightInd/>
        <w:snapToGrid/>
        <w:spacing w:line="600" w:lineRule="exact"/>
        <w:ind w:left="0" w:firstLine="420" w:firstLineChars="200"/>
        <w:textAlignment w:val="auto"/>
        <w:rPr>
          <w:rFonts w:hint="default" w:ascii="Times New Roman" w:hAnsi="Times New Roman" w:cs="Times New Roman"/>
          <w:color w:val="000000" w:themeColor="text1"/>
          <w:w w:val="100"/>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Times New Roman" w:hAnsi="Times New Roman" w:eastAsia="黑体" w:cs="Times New Roman"/>
          <w:color w:val="000000" w:themeColor="text1"/>
          <w:w w:val="100"/>
          <w:sz w:val="32"/>
          <w:szCs w:val="32"/>
          <w14:textFill>
            <w14:solidFill>
              <w14:schemeClr w14:val="tx1"/>
            </w14:solidFill>
          </w14:textFill>
        </w:rPr>
      </w:pPr>
    </w:p>
    <w:p>
      <w:pPr>
        <w:pStyle w:val="34"/>
        <w:keepNext w:val="0"/>
        <w:keepLines w:val="0"/>
        <w:pageBreakBefore w:val="0"/>
        <w:widowControl w:val="0"/>
        <w:kinsoku/>
        <w:wordWrap/>
        <w:overflowPunct w:val="0"/>
        <w:topLinePunct w:val="0"/>
        <w:autoSpaceDE/>
        <w:autoSpaceDN/>
        <w:bidi w:val="0"/>
        <w:spacing w:after="0" w:afterLines="0" w:line="600" w:lineRule="exact"/>
        <w:ind w:left="0" w:leftChars="0" w:firstLine="0" w:firstLineChars="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p>
    <w:p>
      <w:pPr>
        <w:pStyle w:val="34"/>
        <w:keepNext w:val="0"/>
        <w:keepLines w:val="0"/>
        <w:pageBreakBefore w:val="0"/>
        <w:widowControl w:val="0"/>
        <w:kinsoku/>
        <w:wordWrap/>
        <w:overflowPunct w:val="0"/>
        <w:topLinePunct w:val="0"/>
        <w:autoSpaceDE/>
        <w:autoSpaceDN/>
        <w:bidi w:val="0"/>
        <w:spacing w:after="0" w:afterLines="0" w:line="600" w:lineRule="exact"/>
        <w:ind w:left="0" w:leftChars="0" w:firstLine="0" w:firstLineChars="0"/>
        <w:textAlignment w:val="auto"/>
        <w:rPr>
          <w:rFonts w:hint="default" w:ascii="Times New Roman" w:hAnsi="Times New Roman" w:eastAsia="黑体" w:cs="Times New Roman"/>
          <w:color w:val="000000" w:themeColor="text1"/>
          <w:w w:val="100"/>
          <w:sz w:val="32"/>
          <w:szCs w:val="32"/>
          <w14:textFill>
            <w14:solidFill>
              <w14:schemeClr w14:val="tx1"/>
            </w14:solidFill>
          </w14:textFill>
        </w:r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right="0" w:rightChars="0"/>
        <w:jc w:val="left"/>
        <w:textAlignment w:val="auto"/>
        <w:outlineLvl w:val="9"/>
        <w:rPr>
          <w:rFonts w:hint="default" w:ascii="Times New Roman" w:hAnsi="Times New Roman" w:eastAsia="黑体" w:cs="Times New Roman"/>
          <w:color w:val="000000" w:themeColor="text1"/>
          <w:w w:val="100"/>
          <w:sz w:val="32"/>
          <w:szCs w:val="32"/>
          <w:lang w:val="en-US" w:eastAsia="zh-CN"/>
          <w14:textFill>
            <w14:solidFill>
              <w14:schemeClr w14:val="tx1"/>
            </w14:solidFill>
          </w14:textFill>
        </w:r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right="0" w:rightChars="0"/>
        <w:jc w:val="left"/>
        <w:textAlignment w:val="auto"/>
        <w:outlineLvl w:val="9"/>
        <w:rPr>
          <w:rFonts w:hint="default" w:ascii="Times New Roman" w:hAnsi="Times New Roman" w:eastAsia="方正小标宋简体" w:cs="Times New Roman"/>
          <w:color w:val="000000" w:themeColor="text1"/>
          <w:w w:val="100"/>
          <w:kern w:val="2"/>
          <w:sz w:val="44"/>
          <w:szCs w:val="44"/>
          <w14:textFill>
            <w14:solidFill>
              <w14:schemeClr w14:val="tx1"/>
            </w14:solidFill>
          </w14:textFill>
        </w:rPr>
      </w:pPr>
      <w:r>
        <w:rPr>
          <w:rFonts w:hint="default" w:ascii="Times New Roman" w:hAnsi="Times New Roman" w:eastAsia="黑体" w:cs="Times New Roman"/>
          <w:color w:val="000000" w:themeColor="text1"/>
          <w:w w:val="100"/>
          <w:sz w:val="32"/>
          <w:szCs w:val="32"/>
          <w:lang w:val="en-US" w:eastAsia="zh-CN"/>
          <w14:textFill>
            <w14:solidFill>
              <w14:schemeClr w14:val="tx1"/>
            </w14:solidFill>
          </w14:textFill>
        </w:rPr>
        <w:t>附件1</w:t>
      </w: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right="0" w:rightChars="0"/>
        <w:jc w:val="center"/>
        <w:textAlignment w:val="auto"/>
        <w:outlineLvl w:val="9"/>
        <w:rPr>
          <w:rFonts w:hint="eastAsia" w:ascii="方正小标宋简体" w:hAnsi="方正小标宋简体" w:eastAsia="方正小标宋简体" w:cs="方正小标宋简体"/>
          <w:color w:val="000000" w:themeColor="text1"/>
          <w:w w:val="100"/>
          <w:kern w:val="2"/>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w w:val="100"/>
          <w:kern w:val="2"/>
          <w:sz w:val="44"/>
          <w:szCs w:val="44"/>
          <w14:textFill>
            <w14:solidFill>
              <w14:schemeClr w14:val="tx1"/>
            </w14:solidFill>
          </w14:textFill>
        </w:rPr>
        <w:t>“六个必须”标准</w:t>
      </w:r>
    </w:p>
    <w:p>
      <w:pPr>
        <w:keepNext w:val="0"/>
        <w:keepLines w:val="0"/>
        <w:pageBreakBefore w:val="0"/>
        <w:widowControl w:val="0"/>
        <w:kinsoku/>
        <w:wordWrap/>
        <w:overflowPunct w:val="0"/>
        <w:topLinePunct w:val="0"/>
        <w:autoSpaceDE/>
        <w:autoSpaceDN/>
        <w:bidi w:val="0"/>
        <w:spacing w:line="600" w:lineRule="exact"/>
        <w:ind w:left="0" w:firstLine="420" w:firstLineChars="200"/>
        <w:textAlignment w:val="auto"/>
        <w:rPr>
          <w:rFonts w:hint="default" w:ascii="Times New Roman" w:hAnsi="Times New Roman" w:cs="Times New Roman"/>
          <w:color w:val="000000" w:themeColor="text1"/>
          <w:w w:val="100"/>
          <w14:textFill>
            <w14:solidFill>
              <w14:schemeClr w14:val="tx1"/>
            </w14:solidFill>
          </w14:textFill>
        </w:rPr>
      </w:pP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1.以交通管控、污染防治为名，在公路和城市道路上设置的限高限宽设施，必须坚决拆除。</w:t>
      </w: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lang w:eastAsia="zh-CN"/>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2.在国道、省道、县道以及城市道路上设置的侵入建筑限界的限高限宽设施，除符合《交通运输部 公安部 生态环境部 住房城乡建设部关于深入开展道路限高限宽设施和检查卡点专项整治行动的通知》（交公路函〔2020〕813号）中附件1有关要求外，必须坚决拆除。</w:t>
      </w: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3.违反《公路安全保护条例》规定，未经县级交通运输主管部门或者乡级人民政府依法批准，擅自在乡道、村道上设置的限高限宽设施，必须坚决拆除。</w:t>
      </w: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4.在乡道、村道上设置的影响卫生急救和消防车辆应急通行的、存在安全隐患的（包括锈蚀严重、视线不良、设置位置纵坡过大、未配套设置必要的交通标志、标线和视线诱导设施等）、用于向通行车辆收费的限高限宽设施，必须坚决拆除。</w:t>
      </w: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5.除公安</w:t>
      </w:r>
      <w:r>
        <w:rPr>
          <w:rFonts w:hint="default" w:ascii="Times New Roman" w:hAnsi="Times New Roman" w:eastAsia="仿宋_GB2312" w:cs="Times New Roman"/>
          <w:color w:val="000000" w:themeColor="text1"/>
          <w:w w:val="100"/>
          <w:kern w:val="2"/>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kern w:val="2"/>
          <w:sz w:val="32"/>
          <w:szCs w:val="32"/>
          <w14:textFill>
            <w14:solidFill>
              <w14:schemeClr w14:val="tx1"/>
            </w14:solidFill>
          </w14:textFill>
        </w:rPr>
        <w:t>、交通运输、</w:t>
      </w:r>
      <w:r>
        <w:rPr>
          <w:rFonts w:hint="default" w:ascii="Times New Roman" w:hAnsi="Times New Roman" w:eastAsia="仿宋_GB2312" w:cs="Times New Roman"/>
          <w:color w:val="000000" w:themeColor="text1"/>
          <w:w w:val="100"/>
          <w:kern w:val="2"/>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kern w:val="2"/>
          <w:sz w:val="32"/>
          <w:szCs w:val="32"/>
          <w14:textFill>
            <w14:solidFill>
              <w14:schemeClr w14:val="tx1"/>
            </w14:solidFill>
          </w14:textFill>
        </w:rPr>
        <w:t>、动物防疫部门之外，其他部门在公路或城市道路上设置的检查卡点，必须坚决取缔。</w:t>
      </w:r>
    </w:p>
    <w:p>
      <w:pPr>
        <w:pStyle w:val="35"/>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w w:val="100"/>
          <w:kern w:val="2"/>
          <w:sz w:val="32"/>
          <w:szCs w:val="32"/>
          <w14:textFill>
            <w14:solidFill>
              <w14:schemeClr w14:val="tx1"/>
            </w14:solidFill>
          </w14:textFill>
        </w:rPr>
      </w:pPr>
      <w:r>
        <w:rPr>
          <w:rFonts w:hint="default" w:ascii="Times New Roman" w:hAnsi="Times New Roman" w:eastAsia="仿宋_GB2312" w:cs="Times New Roman"/>
          <w:color w:val="000000" w:themeColor="text1"/>
          <w:w w:val="100"/>
          <w:kern w:val="2"/>
          <w:sz w:val="32"/>
          <w:szCs w:val="32"/>
          <w14:textFill>
            <w14:solidFill>
              <w14:schemeClr w14:val="tx1"/>
            </w14:solidFill>
          </w14:textFill>
        </w:rPr>
        <w:t>6.违反法律法规规定，或未经批准，公安</w:t>
      </w:r>
      <w:r>
        <w:rPr>
          <w:rFonts w:hint="default" w:ascii="Times New Roman" w:hAnsi="Times New Roman" w:eastAsia="仿宋_GB2312" w:cs="Times New Roman"/>
          <w:color w:val="000000" w:themeColor="text1"/>
          <w:w w:val="100"/>
          <w:kern w:val="2"/>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w w:val="100"/>
          <w:kern w:val="2"/>
          <w:sz w:val="32"/>
          <w:szCs w:val="32"/>
          <w14:textFill>
            <w14:solidFill>
              <w14:schemeClr w14:val="tx1"/>
            </w14:solidFill>
          </w14:textFill>
        </w:rPr>
        <w:t>、交通运输、</w:t>
      </w:r>
      <w:r>
        <w:rPr>
          <w:rFonts w:hint="default" w:ascii="Times New Roman" w:hAnsi="Times New Roman" w:eastAsia="仿宋_GB2312" w:cs="Times New Roman"/>
          <w:color w:val="000000" w:themeColor="text1"/>
          <w:w w:val="100"/>
          <w:kern w:val="2"/>
          <w:sz w:val="32"/>
          <w:szCs w:val="32"/>
          <w:lang w:val="en-US" w:eastAsia="zh-CN"/>
          <w14:textFill>
            <w14:solidFill>
              <w14:schemeClr w14:val="tx1"/>
            </w14:solidFill>
          </w14:textFill>
        </w:rPr>
        <w:t>自然资源</w:t>
      </w:r>
      <w:r>
        <w:rPr>
          <w:rFonts w:hint="default" w:ascii="Times New Roman" w:hAnsi="Times New Roman" w:eastAsia="仿宋_GB2312" w:cs="Times New Roman"/>
          <w:color w:val="000000" w:themeColor="text1"/>
          <w:w w:val="100"/>
          <w:kern w:val="2"/>
          <w:sz w:val="32"/>
          <w:szCs w:val="32"/>
          <w14:textFill>
            <w14:solidFill>
              <w14:schemeClr w14:val="tx1"/>
            </w14:solidFill>
          </w14:textFill>
        </w:rPr>
        <w:t>、动物防疫部门在公路或城市道路上设置的承担行政检查、行政处罚的固定检查卡点，必须坚决取缔。</w:t>
      </w:r>
    </w:p>
    <w:p>
      <w:pPr>
        <w:pStyle w:val="34"/>
        <w:keepNext w:val="0"/>
        <w:keepLines w:val="0"/>
        <w:pageBreakBefore w:val="0"/>
        <w:widowControl w:val="0"/>
        <w:kinsoku/>
        <w:wordWrap/>
        <w:overflowPunct w:val="0"/>
        <w:topLinePunct w:val="0"/>
        <w:autoSpaceDE/>
        <w:autoSpaceDN/>
        <w:bidi w:val="0"/>
        <w:spacing w:after="0" w:afterLines="0" w:line="600" w:lineRule="exact"/>
        <w:ind w:left="0" w:firstLine="640" w:firstLineChars="200"/>
        <w:textAlignment w:val="auto"/>
        <w:rPr>
          <w:rFonts w:hint="default" w:ascii="Times New Roman" w:hAnsi="Times New Roman" w:eastAsia="仿宋_GB2312" w:cs="Times New Roman"/>
          <w:color w:val="000000" w:themeColor="text1"/>
          <w:w w:val="100"/>
          <w:sz w:val="32"/>
          <w:szCs w:val="32"/>
          <w14:textFill>
            <w14:solidFill>
              <w14:schemeClr w14:val="tx1"/>
            </w14:solidFill>
          </w14:textFill>
        </w:rPr>
        <w:sectPr>
          <w:footerReference r:id="rId20" w:type="default"/>
          <w:pgSz w:w="11906" w:h="16838"/>
          <w:pgMar w:top="1814" w:right="1587" w:bottom="1701" w:left="1587" w:header="851" w:footer="992" w:gutter="0"/>
          <w:pgNumType w:fmt="decimal"/>
          <w:cols w:space="720" w:num="1"/>
          <w:rtlGutter w:val="0"/>
          <w:docGrid w:type="lines" w:linePitch="312" w:charSpace="0"/>
        </w:sect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left="0" w:leftChars="0" w:right="0" w:rightChars="0"/>
        <w:jc w:val="left"/>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附件2</w:t>
      </w:r>
    </w:p>
    <w:p>
      <w:pPr>
        <w:pStyle w:val="35"/>
        <w:keepNext w:val="0"/>
        <w:keepLines w:val="0"/>
        <w:pageBreakBefore w:val="0"/>
        <w:widowControl w:val="0"/>
        <w:kinsoku/>
        <w:wordWrap/>
        <w:overflowPunct w:val="0"/>
        <w:topLinePunct w:val="0"/>
        <w:autoSpaceDE/>
        <w:autoSpaceDN/>
        <w:bidi w:val="0"/>
        <w:adjustRightInd w:val="0"/>
        <w:snapToGrid w:val="0"/>
        <w:spacing w:after="0" w:afterLines="0" w:line="460" w:lineRule="exact"/>
        <w:jc w:val="center"/>
        <w:textAlignment w:val="auto"/>
        <w:rPr>
          <w:rFonts w:hint="default" w:ascii="Times New Roman" w:hAnsi="Times New Roman" w:eastAsia="方正小标宋简体" w:cs="Times New Roman"/>
          <w:color w:val="000000" w:themeColor="text1"/>
          <w:kern w:val="2"/>
          <w:sz w:val="44"/>
          <w:szCs w:val="44"/>
          <w14:textFill>
            <w14:solidFill>
              <w14:schemeClr w14:val="tx1"/>
            </w14:solidFill>
          </w14:textFill>
        </w:rPr>
      </w:pPr>
      <w:r>
        <w:rPr>
          <w:rFonts w:hint="default" w:ascii="Times New Roman" w:hAnsi="Times New Roman" w:eastAsia="方正小标宋简体" w:cs="Times New Roman"/>
          <w:color w:val="000000" w:themeColor="text1"/>
          <w:kern w:val="2"/>
          <w:sz w:val="44"/>
          <w:szCs w:val="44"/>
          <w14:textFill>
            <w14:solidFill>
              <w14:schemeClr w14:val="tx1"/>
            </w14:solidFill>
          </w14:textFill>
        </w:rPr>
        <w:t>道路限高限宽设施和检查卡点问题及整治清单</w:t>
      </w:r>
    </w:p>
    <w:p>
      <w:pPr>
        <w:keepNext w:val="0"/>
        <w:keepLines w:val="0"/>
        <w:pageBreakBefore w:val="0"/>
        <w:widowControl w:val="0"/>
        <w:kinsoku/>
        <w:wordWrap/>
        <w:overflowPunct w:val="0"/>
        <w:topLinePunct w:val="0"/>
        <w:autoSpaceDE/>
        <w:autoSpaceDN/>
        <w:bidi w:val="0"/>
        <w:adjustRightInd w:val="0"/>
        <w:snapToGrid w:val="0"/>
        <w:spacing w:line="460" w:lineRule="exact"/>
        <w:textAlignment w:val="auto"/>
        <w:rPr>
          <w:rFonts w:hint="default" w:ascii="Times New Roman" w:hAnsi="Times New Roman" w:eastAsia="仿宋_GB2312" w:cs="Times New Roman"/>
          <w:color w:val="000000" w:themeColor="text1"/>
          <w:sz w:val="24"/>
          <w:szCs w:val="20"/>
          <w14:textFill>
            <w14:solidFill>
              <w14:schemeClr w14:val="tx1"/>
            </w14:solidFill>
          </w14:textFill>
        </w:rPr>
      </w:pPr>
      <w:r>
        <w:rPr>
          <w:rFonts w:hint="default" w:ascii="Times New Roman" w:hAnsi="Times New Roman" w:eastAsia="仿宋_GB2312" w:cs="Times New Roman"/>
          <w:color w:val="000000" w:themeColor="text1"/>
          <w:sz w:val="24"/>
          <w:szCs w:val="20"/>
          <w14:textFill>
            <w14:solidFill>
              <w14:schemeClr w14:val="tx1"/>
            </w14:solidFill>
          </w14:textFill>
        </w:rPr>
        <w:t>填报单位：（盖章</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r>
        <w:rPr>
          <w:rFonts w:hint="default" w:ascii="Times New Roman" w:hAnsi="Times New Roman" w:eastAsia="仿宋_GB2312" w:cs="Times New Roman"/>
          <w:color w:val="000000" w:themeColor="text1"/>
          <w:sz w:val="24"/>
          <w:szCs w:val="20"/>
          <w14:textFill>
            <w14:solidFill>
              <w14:schemeClr w14:val="tx1"/>
            </w14:solidFill>
          </w14:textFill>
        </w:rPr>
        <w:t xml:space="preserve">                             填报人：                                   填报日期：  年   月   日</w:t>
      </w:r>
    </w:p>
    <w:tbl>
      <w:tblPr>
        <w:tblStyle w:val="10"/>
        <w:tblW w:w="147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34" w:type="dxa"/>
          <w:bottom w:w="0" w:type="dxa"/>
          <w:right w:w="34" w:type="dxa"/>
        </w:tblCellMar>
      </w:tblPr>
      <w:tblGrid>
        <w:gridCol w:w="653"/>
        <w:gridCol w:w="873"/>
        <w:gridCol w:w="748"/>
        <w:gridCol w:w="748"/>
        <w:gridCol w:w="748"/>
        <w:gridCol w:w="748"/>
        <w:gridCol w:w="748"/>
        <w:gridCol w:w="748"/>
        <w:gridCol w:w="748"/>
        <w:gridCol w:w="754"/>
        <w:gridCol w:w="748"/>
        <w:gridCol w:w="748"/>
        <w:gridCol w:w="752"/>
        <w:gridCol w:w="1078"/>
        <w:gridCol w:w="1247"/>
        <w:gridCol w:w="1388"/>
        <w:gridCol w:w="12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1059" w:hRule="atLeast"/>
          <w:jc w:val="center"/>
        </w:trPr>
        <w:tc>
          <w:tcPr>
            <w:tcW w:w="653"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序号</w:t>
            </w:r>
          </w:p>
        </w:tc>
        <w:tc>
          <w:tcPr>
            <w:tcW w:w="873"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类别</w:t>
            </w:r>
          </w:p>
        </w:tc>
        <w:tc>
          <w:tcPr>
            <w:tcW w:w="5990" w:type="dxa"/>
            <w:gridSpan w:val="8"/>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位置信息</w:t>
            </w:r>
          </w:p>
        </w:tc>
        <w:tc>
          <w:tcPr>
            <w:tcW w:w="2248"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权属信息</w:t>
            </w:r>
          </w:p>
        </w:tc>
        <w:tc>
          <w:tcPr>
            <w:tcW w:w="2325"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复核情况</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（重点核查五个方面内容）</w:t>
            </w:r>
          </w:p>
        </w:tc>
        <w:tc>
          <w:tcPr>
            <w:tcW w:w="2628"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整治情况</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（严格落实“五个坚决”）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777" w:hRule="atLeast"/>
          <w:jc w:val="center"/>
        </w:trPr>
        <w:tc>
          <w:tcPr>
            <w:tcW w:w="65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所在市/县</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路线</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编号</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路线</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名称</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行政</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等级</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技术</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等级</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位置</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桩号</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净高（米）</w:t>
            </w: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净宽（米）</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设置单位</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养护单位</w:t>
            </w: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审批单位</w:t>
            </w: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存在问题</w:t>
            </w: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是否</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需要整治</w:t>
            </w: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整治措施</w:t>
            </w: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完成时间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w:t>
            </w:r>
          </w:p>
        </w:tc>
        <w:tc>
          <w:tcPr>
            <w:tcW w:w="873"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限高架</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w:t>
            </w:r>
          </w:p>
        </w:tc>
        <w:tc>
          <w:tcPr>
            <w:tcW w:w="873"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限宽墩</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w:t>
            </w:r>
          </w:p>
        </w:tc>
        <w:tc>
          <w:tcPr>
            <w:tcW w:w="873"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检查</w:t>
            </w:r>
          </w:p>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卡点</w:t>
            </w: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461"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4" w:type="dxa"/>
            <w:bottom w:w="0" w:type="dxa"/>
            <w:right w:w="34" w:type="dxa"/>
          </w:tblCellMar>
        </w:tblPrEx>
        <w:trPr>
          <w:trHeight w:val="508" w:hRule="atLeast"/>
          <w:jc w:val="center"/>
        </w:trPr>
        <w:tc>
          <w:tcPr>
            <w:tcW w:w="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p>
        </w:tc>
        <w:tc>
          <w:tcPr>
            <w:tcW w:w="873"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4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75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07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38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2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afterLines="0" w:line="240" w:lineRule="atLeast"/>
              <w:jc w:val="center"/>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p>
        </w:tc>
      </w:tr>
    </w:tbl>
    <w:p>
      <w:pPr>
        <w:keepNext w:val="0"/>
        <w:keepLines w:val="0"/>
        <w:pageBreakBefore w:val="0"/>
        <w:widowControl w:val="0"/>
        <w:kinsoku/>
        <w:wordWrap/>
        <w:overflowPunct w:val="0"/>
        <w:topLinePunct w:val="0"/>
        <w:autoSpaceDE/>
        <w:autoSpaceDN/>
        <w:bidi w:val="0"/>
        <w:spacing w:line="560" w:lineRule="exact"/>
        <w:jc w:val="left"/>
        <w:textAlignment w:val="auto"/>
        <w:rPr>
          <w:rFonts w:hint="default" w:ascii="Times New Roman" w:hAnsi="Times New Roman" w:eastAsia="黑体" w:cs="Times New Roman"/>
          <w:b/>
          <w:bCs/>
          <w:color w:val="000000" w:themeColor="text1"/>
          <w:sz w:val="36"/>
          <w:szCs w:val="36"/>
          <w14:textFill>
            <w14:solidFill>
              <w14:schemeClr w14:val="tx1"/>
            </w14:solidFill>
          </w14:textFill>
        </w:rPr>
        <w:sectPr>
          <w:pgSz w:w="16838" w:h="11906" w:orient="landscape"/>
          <w:pgMar w:top="1701" w:right="1417" w:bottom="1701" w:left="1417" w:header="851" w:footer="992" w:gutter="0"/>
          <w:pgNumType w:fmt="decimal"/>
          <w:cols w:space="720" w:num="1"/>
          <w:docGrid w:type="lines" w:linePitch="319" w:charSpace="0"/>
        </w:sect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right="0" w:rightChars="0"/>
        <w:jc w:val="left"/>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附件3</w:t>
      </w: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jc w:val="center"/>
        <w:textAlignment w:val="auto"/>
        <w:rPr>
          <w:rFonts w:hint="default" w:ascii="Times New Roman" w:hAnsi="Times New Roman" w:eastAsia="方正小标宋简体" w:cs="Times New Roman"/>
          <w:color w:val="000000" w:themeColor="text1"/>
          <w:kern w:val="2"/>
          <w:sz w:val="44"/>
          <w:szCs w:val="44"/>
          <w14:textFill>
            <w14:solidFill>
              <w14:schemeClr w14:val="tx1"/>
            </w14:solidFill>
          </w14:textFill>
        </w:rPr>
      </w:pPr>
      <w:r>
        <w:rPr>
          <w:rFonts w:hint="default" w:ascii="Times New Roman" w:hAnsi="Times New Roman" w:eastAsia="方正小标宋简体" w:cs="Times New Roman"/>
          <w:color w:val="000000" w:themeColor="text1"/>
          <w:kern w:val="2"/>
          <w:sz w:val="44"/>
          <w:szCs w:val="44"/>
          <w14:textFill>
            <w14:solidFill>
              <w14:schemeClr w14:val="tx1"/>
            </w14:solidFill>
          </w14:textFill>
        </w:rPr>
        <w:t>五个机制</w:t>
      </w:r>
    </w:p>
    <w:p>
      <w:pPr>
        <w:keepNext w:val="0"/>
        <w:keepLines w:val="0"/>
        <w:pageBreakBefore w:val="0"/>
        <w:widowControl w:val="0"/>
        <w:kinsoku/>
        <w:wordWrap/>
        <w:overflowPunct w:val="0"/>
        <w:topLinePunct w:val="0"/>
        <w:autoSpaceDE/>
        <w:autoSpaceDN/>
        <w:bidi w:val="0"/>
        <w:spacing w:line="600" w:lineRule="exact"/>
        <w:textAlignment w:val="auto"/>
        <w:rPr>
          <w:rFonts w:hint="default"/>
        </w:rPr>
      </w:pP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一、行业检查机制</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1.建立日调度制度。各行业主管部门通过建立工作群等方式每日调度本行业整治情况，及时了解各级工作进展情况，梳理汇总存在问题。</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2.建立周通报制度。对于投诉较多、整治不力、工作滞后的区域和单位，开展明察暗访，及时反馈结果，督促限期整改。</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各职能</w:t>
      </w:r>
      <w:r>
        <w:rPr>
          <w:rFonts w:hint="default" w:ascii="Times New Roman" w:hAnsi="Times New Roman" w:eastAsia="仿宋_GB2312" w:cs="Times New Roman"/>
          <w:color w:val="000000" w:themeColor="text1"/>
          <w:sz w:val="32"/>
          <w:szCs w:val="32"/>
          <w:lang w:val="en-US"/>
          <w14:textFill>
            <w14:solidFill>
              <w14:schemeClr w14:val="tx1"/>
            </w14:solidFill>
          </w14:textFill>
        </w:rPr>
        <w:t>部门在9月30日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前</w:t>
      </w:r>
      <w:r>
        <w:rPr>
          <w:rFonts w:hint="default" w:ascii="Times New Roman" w:hAnsi="Times New Roman" w:eastAsia="仿宋_GB2312" w:cs="Times New Roman"/>
          <w:color w:val="000000" w:themeColor="text1"/>
          <w:sz w:val="32"/>
          <w:szCs w:val="32"/>
          <w:lang w:val="en-US"/>
          <w14:textFill>
            <w14:solidFill>
              <w14:schemeClr w14:val="tx1"/>
            </w14:solidFill>
          </w14:textFill>
        </w:rPr>
        <w:t>每半月组织对本行政区域路网进行全覆盖巡查，形成问题清单和整治清单，并落实整治。</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县工作专班</w:t>
      </w:r>
      <w:r>
        <w:rPr>
          <w:rFonts w:hint="default" w:ascii="Times New Roman" w:hAnsi="Times New Roman" w:eastAsia="仿宋_GB2312" w:cs="Times New Roman"/>
          <w:color w:val="000000" w:themeColor="text1"/>
          <w:sz w:val="32"/>
          <w:szCs w:val="32"/>
          <w:lang w:val="en-US"/>
          <w14:textFill>
            <w14:solidFill>
              <w14:schemeClr w14:val="tx1"/>
            </w14:solidFill>
          </w14:textFill>
        </w:rPr>
        <w:t>在9月30日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前</w:t>
      </w:r>
      <w:r>
        <w:rPr>
          <w:rFonts w:hint="default" w:ascii="Times New Roman" w:hAnsi="Times New Roman" w:eastAsia="仿宋_GB2312" w:cs="Times New Roman"/>
          <w:color w:val="000000" w:themeColor="text1"/>
          <w:sz w:val="32"/>
          <w:szCs w:val="32"/>
          <w:lang w:val="en-US"/>
          <w14:textFill>
            <w14:solidFill>
              <w14:schemeClr w14:val="tx1"/>
            </w14:solidFill>
          </w14:textFill>
        </w:rPr>
        <w:t>每月组织对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w:t>
      </w:r>
      <w:r>
        <w:rPr>
          <w:rFonts w:hint="default" w:ascii="Times New Roman" w:hAnsi="Times New Roman" w:eastAsia="仿宋_GB2312" w:cs="Times New Roman"/>
          <w:color w:val="000000" w:themeColor="text1"/>
          <w:sz w:val="32"/>
          <w:szCs w:val="32"/>
          <w:lang w:val="en-US"/>
          <w14:textFill>
            <w14:solidFill>
              <w14:schemeClr w14:val="tx1"/>
            </w14:solidFill>
          </w14:textFill>
        </w:rPr>
        <w:t>开展整治情况进行全覆盖督查，及时督促整改。</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val="en-US"/>
          <w14:textFill>
            <w14:solidFill>
              <w14:schemeClr w14:val="tx1"/>
            </w14:solidFill>
          </w14:textFill>
        </w:rPr>
        <w:t>二、</w:t>
      </w:r>
      <w:r>
        <w:rPr>
          <w:rFonts w:hint="default" w:ascii="Times New Roman" w:hAnsi="Times New Roman" w:eastAsia="黑体" w:cs="Times New Roman"/>
          <w:color w:val="000000" w:themeColor="text1"/>
          <w:sz w:val="32"/>
          <w:szCs w:val="32"/>
          <w14:textFill>
            <w14:solidFill>
              <w14:schemeClr w14:val="tx1"/>
            </w14:solidFill>
          </w14:textFill>
        </w:rPr>
        <w:t>协会评估机制</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目标导向，引入社会评价，扩大效果评估覆盖面，建立行业协会、运输企业和从业人员多层次评估机制，邀请本地区货运行业协会、重点货运企业和货车司机代表进行效果评估，提出改进意见建议，监督落实情况。</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1.交通运输主管部门每月走访不少于10家重点货运企业，与货车司机座谈交流，重点交流途径地市对五个方面的内容落实情况，对货物物流畅通的意见和建议，并对本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w:t>
      </w:r>
      <w:r>
        <w:rPr>
          <w:rFonts w:hint="default" w:ascii="Times New Roman" w:hAnsi="Times New Roman" w:eastAsia="仿宋_GB2312" w:cs="Times New Roman"/>
          <w:color w:val="000000" w:themeColor="text1"/>
          <w:sz w:val="32"/>
          <w:szCs w:val="32"/>
          <w:lang w:val="en-US"/>
          <w14:textFill>
            <w14:solidFill>
              <w14:schemeClr w14:val="tx1"/>
            </w14:solidFill>
          </w14:textFill>
        </w:rPr>
        <w:t>以外的其他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县市</w:t>
      </w:r>
      <w:r>
        <w:rPr>
          <w:rFonts w:hint="default" w:ascii="Times New Roman" w:hAnsi="Times New Roman" w:eastAsia="仿宋_GB2312" w:cs="Times New Roman"/>
          <w:color w:val="000000" w:themeColor="text1"/>
          <w:sz w:val="32"/>
          <w:szCs w:val="32"/>
          <w:lang w:val="en-US"/>
          <w14:textFill>
            <w14:solidFill>
              <w14:schemeClr w14:val="tx1"/>
            </w14:solidFill>
          </w14:textFill>
        </w:rPr>
        <w:t>按照好（9-10分）、一般（5-8分）、差（0-4分）三个等次进行评价打分，并对一般和差的等次提出具体问题和意见。</w:t>
      </w:r>
    </w:p>
    <w:p>
      <w:pPr>
        <w:pStyle w:val="34"/>
        <w:keepNext w:val="0"/>
        <w:keepLines w:val="0"/>
        <w:pageBreakBefore w:val="0"/>
        <w:widowControl w:val="0"/>
        <w:kinsoku/>
        <w:wordWrap/>
        <w:overflowPunct w:val="0"/>
        <w:topLinePunct w:val="0"/>
        <w:autoSpaceDE/>
        <w:autoSpaceDN/>
        <w:bidi w:val="0"/>
        <w:adjustRightInd/>
        <w:snapToGrid/>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县道路</w:t>
      </w:r>
      <w:r>
        <w:rPr>
          <w:rFonts w:hint="default" w:ascii="Times New Roman" w:hAnsi="Times New Roman" w:eastAsia="仿宋_GB2312" w:cs="Times New Roman"/>
          <w:color w:val="000000" w:themeColor="text1"/>
          <w:sz w:val="32"/>
          <w:szCs w:val="32"/>
          <w:lang w:val="en-US"/>
          <w14:textFill>
            <w14:solidFill>
              <w14:schemeClr w14:val="tx1"/>
            </w14:solidFill>
          </w14:textFill>
        </w:rPr>
        <w:t>运输</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服务中心</w:t>
      </w:r>
      <w:r>
        <w:rPr>
          <w:rFonts w:hint="default" w:ascii="Times New Roman" w:hAnsi="Times New Roman" w:eastAsia="仿宋_GB2312" w:cs="Times New Roman"/>
          <w:color w:val="000000" w:themeColor="text1"/>
          <w:sz w:val="32"/>
          <w:szCs w:val="32"/>
          <w:lang w:val="en-US"/>
          <w14:textFill>
            <w14:solidFill>
              <w14:schemeClr w14:val="tx1"/>
            </w14:solidFill>
          </w14:textFill>
        </w:rPr>
        <w:t>每月邀请本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w:t>
      </w:r>
      <w:r>
        <w:rPr>
          <w:rFonts w:hint="default" w:ascii="Times New Roman" w:hAnsi="Times New Roman" w:eastAsia="仿宋_GB2312" w:cs="Times New Roman"/>
          <w:color w:val="000000" w:themeColor="text1"/>
          <w:sz w:val="32"/>
          <w:szCs w:val="32"/>
          <w:lang w:val="en-US"/>
          <w14:textFill>
            <w14:solidFill>
              <w14:schemeClr w14:val="tx1"/>
            </w14:solidFill>
          </w14:textFill>
        </w:rPr>
        <w:t>道路运输</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企业、驾驶员</w:t>
      </w:r>
      <w:r>
        <w:rPr>
          <w:rFonts w:hint="default" w:ascii="Times New Roman" w:hAnsi="Times New Roman" w:eastAsia="仿宋_GB2312" w:cs="Times New Roman"/>
          <w:color w:val="000000" w:themeColor="text1"/>
          <w:sz w:val="32"/>
          <w:szCs w:val="32"/>
          <w:lang w:val="en-US"/>
          <w14:textFill>
            <w14:solidFill>
              <w14:schemeClr w14:val="tx1"/>
            </w14:solidFill>
          </w14:textFill>
        </w:rPr>
        <w:t>代表开展一次座谈评估活动，对本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w:t>
      </w:r>
      <w:r>
        <w:rPr>
          <w:rFonts w:hint="default" w:ascii="Times New Roman" w:hAnsi="Times New Roman" w:eastAsia="仿宋_GB2312" w:cs="Times New Roman"/>
          <w:color w:val="000000" w:themeColor="text1"/>
          <w:sz w:val="32"/>
          <w:szCs w:val="32"/>
          <w:lang w:val="en-US"/>
          <w14:textFill>
            <w14:solidFill>
              <w14:schemeClr w14:val="tx1"/>
            </w14:solidFill>
          </w14:textFill>
        </w:rPr>
        <w:t>以外的其他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县</w:t>
      </w:r>
      <w:r>
        <w:rPr>
          <w:rFonts w:hint="default" w:ascii="Times New Roman" w:hAnsi="Times New Roman" w:eastAsia="仿宋_GB2312" w:cs="Times New Roman"/>
          <w:color w:val="000000" w:themeColor="text1"/>
          <w:sz w:val="32"/>
          <w:szCs w:val="32"/>
          <w:lang w:val="en-US"/>
          <w14:textFill>
            <w14:solidFill>
              <w14:schemeClr w14:val="tx1"/>
            </w14:solidFill>
          </w14:textFill>
        </w:rPr>
        <w:t>市</w:t>
      </w:r>
      <w:r>
        <w:rPr>
          <w:rFonts w:hint="default" w:ascii="Times New Roman" w:hAnsi="Times New Roman" w:eastAsia="仿宋_GB2312" w:cs="Times New Roman"/>
          <w:color w:val="000000" w:themeColor="text1"/>
          <w:sz w:val="32"/>
          <w:szCs w:val="32"/>
          <w14:textFill>
            <w14:solidFill>
              <w14:schemeClr w14:val="tx1"/>
            </w14:solidFill>
          </w14:textFill>
        </w:rPr>
        <w:t>开展坚决整治违规设置妨碍货车通行的道路限高限宽设施和检查卡点工作实施</w:t>
      </w:r>
      <w:r>
        <w:rPr>
          <w:rFonts w:hint="default" w:ascii="Times New Roman" w:hAnsi="Times New Roman" w:eastAsia="仿宋_GB2312" w:cs="Times New Roman"/>
          <w:color w:val="000000" w:themeColor="text1"/>
          <w:sz w:val="32"/>
          <w:szCs w:val="32"/>
          <w:lang w:val="en-US"/>
          <w14:textFill>
            <w14:solidFill>
              <w14:schemeClr w14:val="tx1"/>
            </w14:solidFill>
          </w14:textFill>
        </w:rPr>
        <w:t>情况开展评估，按照好（9-10分）、一般（5-8分）、差（0-4分）三个等次进行评价打分，并对一般和差的等次提出具体问题和意见。</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val="en-US"/>
          <w14:textFill>
            <w14:solidFill>
              <w14:schemeClr w14:val="tx1"/>
            </w14:solidFill>
          </w14:textFill>
        </w:rPr>
        <w:t>三、</w:t>
      </w:r>
      <w:r>
        <w:rPr>
          <w:rFonts w:hint="default" w:ascii="Times New Roman" w:hAnsi="Times New Roman" w:eastAsia="黑体" w:cs="Times New Roman"/>
          <w:color w:val="000000" w:themeColor="text1"/>
          <w:sz w:val="32"/>
          <w:szCs w:val="32"/>
          <w14:textFill>
            <w14:solidFill>
              <w14:schemeClr w14:val="tx1"/>
            </w14:solidFill>
          </w14:textFill>
        </w:rPr>
        <w:t>公众举报机制</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jc w:val="lef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充分运用传统媒体和新媒体等各种新闻宣传媒介，加大投诉举报小程序宣传推广力度，加强下载、登录、使用等操作培训，发动货车司机、货运企业和沿线群众通过投诉举报小程序参与监督。</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1.各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14:textFill>
            <w14:solidFill>
              <w14:schemeClr w14:val="tx1"/>
            </w14:solidFill>
          </w14:textFill>
        </w:rPr>
        <w:t>交通运输、公安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sz w:val="32"/>
          <w:szCs w:val="32"/>
          <w:lang w:val="en-US"/>
          <w14:textFill>
            <w14:solidFill>
              <w14:schemeClr w14:val="tx1"/>
            </w14:solidFill>
          </w14:textFill>
        </w:rPr>
        <w:t>、生态环境、住房和城乡建设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sz w:val="32"/>
          <w:szCs w:val="32"/>
          <w:lang w:val="en-US"/>
          <w14:textFill>
            <w14:solidFill>
              <w14:schemeClr w14:val="tx1"/>
            </w14:solidFill>
          </w14:textFill>
        </w:rPr>
        <w:t>部门在官方网站、微信公众号等主动公开“前路无限”小程序二维码和使用说明。</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2.各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w w:val="100"/>
          <w:kern w:val="2"/>
          <w:sz w:val="32"/>
          <w:szCs w:val="32"/>
          <w:lang w:val="en-US" w:eastAsia="zh-CN" w:bidi="ar-SA"/>
          <w14:textFill>
            <w14:solidFill>
              <w14:schemeClr w14:val="tx1"/>
            </w14:solidFill>
          </w14:textFill>
        </w:rPr>
        <w:t>（街道）</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14:textFill>
            <w14:solidFill>
              <w14:schemeClr w14:val="tx1"/>
            </w14:solidFill>
          </w14:textFill>
        </w:rPr>
        <w:t>交通运输、公安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sz w:val="32"/>
          <w:szCs w:val="32"/>
          <w:lang w:val="en-US"/>
          <w14:textFill>
            <w14:solidFill>
              <w14:schemeClr w14:val="tx1"/>
            </w14:solidFill>
          </w14:textFill>
        </w:rPr>
        <w:t>、生态环境、住房和城乡建设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sz w:val="32"/>
          <w:szCs w:val="32"/>
          <w:lang w:val="en-US"/>
          <w14:textFill>
            <w14:solidFill>
              <w14:schemeClr w14:val="tx1"/>
            </w14:solidFill>
          </w14:textFill>
        </w:rPr>
        <w:t>部门结合开展普法宣传，进企业进社区活动、我为群众办实事活动，主动宣讲坚决整治妨碍货车通行的限高限宽设施和检查卡点的重要意义，吸引公众参与监督。</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3.县交通运输主管部门要将“前路无限”投诉举报小程序使用说明发至行政区域内所有货运企业，并发动货车驾驶员安装和使用。</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四、通报抄告机制</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及时收集梳理问题线索，涉及本行业的，通报相关单位严肃查处；涉及其他行业的，及时抄告相关单位核实处置，限时办结。</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1.通报机制。各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乡镇、</w:t>
      </w:r>
      <w:r>
        <w:rPr>
          <w:rFonts w:hint="default" w:ascii="Times New Roman" w:hAnsi="Times New Roman" w:eastAsia="仿宋_GB2312" w:cs="Times New Roman"/>
          <w:color w:val="000000" w:themeColor="text1"/>
          <w:sz w:val="32"/>
          <w:szCs w:val="32"/>
          <w:lang w:val="en-US"/>
          <w14:textFill>
            <w14:solidFill>
              <w14:schemeClr w14:val="tx1"/>
            </w14:solidFill>
          </w14:textFill>
        </w:rPr>
        <w:t>交通运输、公安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sz w:val="32"/>
          <w:szCs w:val="32"/>
          <w:lang w:val="en-US"/>
          <w14:textFill>
            <w14:solidFill>
              <w14:schemeClr w14:val="tx1"/>
            </w14:solidFill>
          </w14:textFill>
        </w:rPr>
        <w:t>、生态环境、住房和城乡建设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sz w:val="32"/>
          <w:szCs w:val="32"/>
          <w:lang w:val="en-US"/>
          <w14:textFill>
            <w14:solidFill>
              <w14:schemeClr w14:val="tx1"/>
            </w14:solidFill>
          </w14:textFill>
        </w:rPr>
        <w:t>部门及时收集整理本行业内的问题线索，重大问题、影响恶劣的实行实时通报制度，其他线索问题实行每周定期通报制度。</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2.抄告机制。按照问题线索收集首问负责制原则，交通运输、公安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交警</w:t>
      </w:r>
      <w:r>
        <w:rPr>
          <w:rFonts w:hint="default" w:ascii="Times New Roman" w:hAnsi="Times New Roman" w:eastAsia="仿宋_GB2312" w:cs="Times New Roman"/>
          <w:color w:val="000000" w:themeColor="text1"/>
          <w:sz w:val="32"/>
          <w:szCs w:val="32"/>
          <w:lang w:val="en-US"/>
          <w14:textFill>
            <w14:solidFill>
              <w14:schemeClr w14:val="tx1"/>
            </w14:solidFill>
          </w14:textFill>
        </w:rPr>
        <w:t>、生态环境、住房和城乡建设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、综合执法</w:t>
      </w:r>
      <w:r>
        <w:rPr>
          <w:rFonts w:hint="default" w:ascii="Times New Roman" w:hAnsi="Times New Roman" w:eastAsia="仿宋_GB2312" w:cs="Times New Roman"/>
          <w:color w:val="000000" w:themeColor="text1"/>
          <w:sz w:val="32"/>
          <w:szCs w:val="32"/>
          <w:lang w:val="en-US"/>
          <w14:textFill>
            <w14:solidFill>
              <w14:schemeClr w14:val="tx1"/>
            </w14:solidFill>
          </w14:textFill>
        </w:rPr>
        <w:t>部门间实行同级抄告机制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14:textFill>
            <w14:solidFill>
              <w14:schemeClr w14:val="tx1"/>
            </w14:solidFill>
          </w14:textFill>
        </w:rPr>
        <w:t>限时核实处置。</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val="en-US"/>
          <w14:textFill>
            <w14:solidFill>
              <w14:schemeClr w14:val="tx1"/>
            </w14:solidFill>
          </w14:textFill>
        </w:rPr>
        <w:t>五、</w:t>
      </w:r>
      <w:r>
        <w:rPr>
          <w:rFonts w:hint="default" w:ascii="Times New Roman" w:hAnsi="Times New Roman" w:eastAsia="黑体" w:cs="Times New Roman"/>
          <w:color w:val="000000" w:themeColor="text1"/>
          <w:sz w:val="32"/>
          <w:szCs w:val="32"/>
          <w14:textFill>
            <w14:solidFill>
              <w14:schemeClr w14:val="tx1"/>
            </w14:solidFill>
          </w14:textFill>
        </w:rPr>
        <w:t>反馈评价机制</w:t>
      </w: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jc w:val="lef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坚持“三个第一时间”，即第一时间受理转交、第一时间承办处置、第一时间办结反馈，形成工作闭环，处置结果及时反馈投诉人，接受投诉人的评价。</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各乡镇（街道）、交通运输、公安交警、生态环境、住房和城乡建设、行政执法部门</w:t>
      </w:r>
      <w:r>
        <w:rPr>
          <w:rFonts w:hint="default" w:ascii="Times New Roman" w:hAnsi="Times New Roman" w:eastAsia="仿宋_GB2312" w:cs="Times New Roman"/>
          <w:color w:val="000000" w:themeColor="text1"/>
          <w:sz w:val="32"/>
          <w:szCs w:val="32"/>
          <w:lang w:val="en-US"/>
          <w14:textFill>
            <w14:solidFill>
              <w14:schemeClr w14:val="tx1"/>
            </w14:solidFill>
          </w14:textFill>
        </w:rPr>
        <w:t>明确专人受理投诉举报和问题线索受理、通报和抄告工作。</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2.问题线索按照通报抄告机制的流程，及时通知承办部门48小时内办结，并逐级审核报送至本行业问题线索移交部门；涉及其他行业的，办结时间延长至72小时。</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3.涉及本行业的由本行业最先受理的部门对投诉人进行反馈，涉及其他行业的，由同级的管辖的行业主管部门对投诉人进行反馈，并对反馈满意度进行调查，形成台账。</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color w:val="000000" w:themeColor="text1"/>
          <w:sz w:val="32"/>
          <w:szCs w:val="32"/>
          <w:lang w:val="en-US"/>
          <w14:textFill>
            <w14:solidFill>
              <w14:schemeClr w14:val="tx1"/>
            </w14:solidFill>
          </w14:textFill>
        </w:rPr>
        <w:t>4.利用“前路无限”小程序进行投诉举报的，按照小程序使用说明的流程完成受理、处置和反馈评价工作。</w:t>
      </w:r>
    </w:p>
    <w:p>
      <w:pPr>
        <w:pStyle w:val="34"/>
        <w:keepNext w:val="0"/>
        <w:keepLines w:val="0"/>
        <w:pageBreakBefore w:val="0"/>
        <w:widowControl w:val="0"/>
        <w:kinsoku/>
        <w:wordWrap/>
        <w:overflowPunct w:val="0"/>
        <w:topLinePunct w:val="0"/>
        <w:autoSpaceDE/>
        <w:autoSpaceDN/>
        <w:bidi w:val="0"/>
        <w:spacing w:beforeAutospacing="0" w:after="0" w:afterLines="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sectPr>
          <w:pgSz w:w="11906" w:h="16838"/>
          <w:pgMar w:top="1814" w:right="1587" w:bottom="1701" w:left="1587" w:header="851" w:footer="992" w:gutter="0"/>
          <w:pgNumType w:fmt="decimal"/>
          <w:cols w:space="720" w:num="1"/>
          <w:docGrid w:type="lines" w:linePitch="312" w:charSpace="0"/>
        </w:sect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right="0" w:rightChars="0"/>
        <w:jc w:val="left"/>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附件4</w:t>
      </w:r>
    </w:p>
    <w:p>
      <w:pPr>
        <w:keepNext w:val="0"/>
        <w:keepLines w:val="0"/>
        <w:pageBreakBefore w:val="0"/>
        <w:widowControl w:val="0"/>
        <w:kinsoku/>
        <w:wordWrap/>
        <w:topLinePunct w:val="0"/>
        <w:autoSpaceDE/>
        <w:autoSpaceDN/>
        <w:bidi w:val="0"/>
        <w:spacing w:line="600" w:lineRule="exact"/>
        <w:textAlignment w:val="auto"/>
        <w:rPr>
          <w:rFonts w:hint="default"/>
          <w:lang w:val="en-US" w:eastAsia="zh-CN"/>
        </w:rPr>
      </w:pPr>
    </w:p>
    <w:p>
      <w:pPr>
        <w:keepNext w:val="0"/>
        <w:keepLines w:val="0"/>
        <w:pageBreakBefore w:val="0"/>
        <w:widowControl w:val="0"/>
        <w:kinsoku/>
        <w:wordWrap/>
        <w:overflowPunct w:val="0"/>
        <w:topLinePunct w:val="0"/>
        <w:autoSpaceDE/>
        <w:autoSpaceDN/>
        <w:bidi w:val="0"/>
        <w:spacing w:beforeAutospacing="0" w:afterAutospacing="0"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“前路无限”投诉举报小程序使用说明</w:t>
      </w:r>
    </w:p>
    <w:p>
      <w:pPr>
        <w:pStyle w:val="34"/>
        <w:keepNext w:val="0"/>
        <w:keepLines w:val="0"/>
        <w:pageBreakBefore w:val="0"/>
        <w:widowControl w:val="0"/>
        <w:kinsoku/>
        <w:wordWrap/>
        <w:topLinePunct w:val="0"/>
        <w:autoSpaceDE/>
        <w:autoSpaceDN/>
        <w:bidi w:val="0"/>
        <w:spacing w:after="0" w:afterLines="0" w:line="600" w:lineRule="exact"/>
        <w:textAlignment w:val="auto"/>
        <w:rPr>
          <w:rFonts w:hint="eastAsia"/>
        </w:rPr>
      </w:pPr>
    </w:p>
    <w:p>
      <w:pPr>
        <w:keepNext w:val="0"/>
        <w:keepLines w:val="0"/>
        <w:pageBreakBefore w:val="0"/>
        <w:widowControl w:val="0"/>
        <w:kinsoku/>
        <w:wordWrap/>
        <w:overflowPunct w:val="0"/>
        <w:topLinePunct w:val="0"/>
        <w:autoSpaceDE/>
        <w:autoSpaceDN/>
        <w:bidi w:val="0"/>
        <w:spacing w:beforeAutospacing="0" w:afterAutospacing="0" w:line="600" w:lineRule="exact"/>
        <w:ind w:lef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1.货车司机、货运企业和沿线群众通过微信扫描</w:t>
      </w:r>
      <w:bookmarkStart w:id="1" w:name="_Hlk70528940"/>
      <w:r>
        <w:rPr>
          <w:rFonts w:hint="default" w:ascii="Times New Roman" w:hAnsi="Times New Roman" w:eastAsia="仿宋_GB2312" w:cs="Times New Roman"/>
          <w:color w:val="000000" w:themeColor="text1"/>
          <w:sz w:val="32"/>
          <w:szCs w:val="32"/>
          <w14:textFill>
            <w14:solidFill>
              <w14:schemeClr w14:val="tx1"/>
            </w14:solidFill>
          </w14:textFill>
        </w:rPr>
        <w:t>“前路无限”</w:t>
      </w:r>
      <w:bookmarkEnd w:id="1"/>
      <w:r>
        <w:rPr>
          <w:rFonts w:hint="default" w:ascii="Times New Roman" w:hAnsi="Times New Roman" w:eastAsia="仿宋_GB2312" w:cs="Times New Roman"/>
          <w:color w:val="000000" w:themeColor="text1"/>
          <w:sz w:val="32"/>
          <w:szCs w:val="32"/>
          <w14:textFill>
            <w14:solidFill>
              <w14:schemeClr w14:val="tx1"/>
            </w14:solidFill>
          </w14:textFill>
        </w:rPr>
        <w:t>小程序二维码（如图所示）进入微信小程序，对违规设置妨碍货车通行的限高限宽设施和检查卡点进行投诉举报，并对处理进展和结果进行实时查看和评价。</w:t>
      </w:r>
    </w:p>
    <w:p>
      <w:pPr>
        <w:keepNext w:val="0"/>
        <w:keepLines w:val="0"/>
        <w:pageBreakBefore w:val="0"/>
        <w:widowControl w:val="0"/>
        <w:kinsoku/>
        <w:wordWrap/>
        <w:overflowPunct w:val="0"/>
        <w:topLinePunct w:val="0"/>
        <w:autoSpaceDE/>
        <w:autoSpaceDN/>
        <w:bidi w:val="0"/>
        <w:spacing w:after="0" w:afterLines="0" w:line="240" w:lineRule="auto"/>
        <w:jc w:val="center"/>
        <w:textAlignment w:val="auto"/>
        <w:rPr>
          <w:rFonts w:hint="default" w:ascii="Times New Roman" w:hAnsi="Times New Roman" w:eastAsia="黑体" w:cs="Times New Roman"/>
          <w:b/>
          <w:bCs/>
          <w:color w:val="000000" w:themeColor="text1"/>
          <w:sz w:val="28"/>
          <w:szCs w:val="28"/>
          <w14:textFill>
            <w14:solidFill>
              <w14:schemeClr w14:val="tx1"/>
            </w14:solidFill>
          </w14:textFill>
        </w:rPr>
      </w:pPr>
      <w:r>
        <w:rPr>
          <w:rFonts w:hint="default" w:ascii="Times New Roman" w:hAnsi="Times New Roman" w:eastAsia="黑体" w:cs="Times New Roman"/>
          <w:b/>
          <w:bCs/>
          <w:color w:val="000000" w:themeColor="text1"/>
          <w:sz w:val="28"/>
          <w:szCs w:val="28"/>
          <w14:textFill>
            <w14:solidFill>
              <w14:schemeClr w14:val="tx1"/>
            </w14:solidFill>
          </w14:textFill>
        </w:rPr>
        <w:drawing>
          <wp:inline distT="0" distB="0" distL="114300" distR="114300">
            <wp:extent cx="2667000" cy="2733675"/>
            <wp:effectExtent l="0" t="0" r="0" b="9525"/>
            <wp:docPr id="1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片1"/>
                    <pic:cNvPicPr>
                      <a:picLocks noChangeAspect="1"/>
                    </pic:cNvPicPr>
                  </pic:nvPicPr>
                  <pic:blipFill>
                    <a:blip r:embed="rId24"/>
                    <a:stretch>
                      <a:fillRect/>
                    </a:stretch>
                  </pic:blipFill>
                  <pic:spPr>
                    <a:xfrm>
                      <a:off x="0" y="0"/>
                      <a:ext cx="2667000" cy="273367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spacing w:after="0" w:afterLines="0" w:line="560" w:lineRule="exact"/>
        <w:jc w:val="center"/>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“前路无限”小程序二维码</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2.用户通过登录“专项整治工作数据审核系统”（网址http://139.9.228.178:9096/xgxk_collect/a/login）及时进行处理，并将处理结果反馈到举报人，用户的账号和密码与原数据审核系统一致。</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3.县级用户工作流程如下：</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通过PC端系统接收到举报信息后，对举报信息进行查看、处置、抄告、退回操作。</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）用户可随时查看跟踪下发数据的处置情况和状态。如出现误发的情况，接收单位可将数据退回到上级单位，上级单位应及时对回退数据进行处理。</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）举报信息的处置要求从省级用户收到举报信息开始至反馈到举报人全流程办结不超过48小时（如抄告到其他部门进行处理的，则全流程办结不超过72小时）。</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）举报信息不属于交通运输主管部门的，由各地交通运输主管部门将举报信息抄告同级公安、生态环境、住房和城乡建设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城市道路管理部门，相关部门在接收到举报信息后48小时内应将处置结果反馈到举报人，并抄告同级交通运输主管部门。</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在2021年3月31日后新增、拆除、取缔和设置公示牌的限高限宽设施和检查卡点，须通过“拆杆撤卡一路畅通”APP采集系统进行实地采集、上报和逐级审核。经审核通过后，由省级交通运输主管部门在3个工作日内通过“全国公路限高限宽和检查卡点服务管理平台”提交备案申请，备案通过后进行公示。</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系统技术支持单位：中国交通通信信息中心。联系人及联系方式：吕楠，010-65299659；楚潇蓉，010-65299525。</w:t>
      </w:r>
    </w:p>
    <w:p>
      <w:pPr>
        <w:keepNext w:val="0"/>
        <w:keepLines w:val="0"/>
        <w:pageBreakBefore w:val="0"/>
        <w:widowControl w:val="0"/>
        <w:kinsoku/>
        <w:wordWrap/>
        <w:overflowPunct w:val="0"/>
        <w:topLinePunct w:val="0"/>
        <w:autoSpaceDE/>
        <w:autoSpaceDN/>
        <w:bidi w:val="0"/>
        <w:adjustRightInd/>
        <w:snapToGrid/>
        <w:spacing w:line="600" w:lineRule="exact"/>
        <w:ind w:firstLine="643" w:firstLineChars="200"/>
        <w:jc w:val="left"/>
        <w:textAlignment w:val="auto"/>
        <w:rPr>
          <w:rFonts w:hint="default" w:ascii="Times New Roman" w:hAnsi="Times New Roman" w:eastAsia="黑体" w:cs="Times New Roman"/>
          <w:b/>
          <w:bCs/>
          <w:color w:val="000000" w:themeColor="text1"/>
          <w:sz w:val="32"/>
          <w:szCs w:val="32"/>
          <w14:textFill>
            <w14:solidFill>
              <w14:schemeClr w14:val="tx1"/>
            </w14:solidFill>
          </w14:textFill>
        </w:rPr>
        <w:sectPr>
          <w:pgSz w:w="11906" w:h="16838"/>
          <w:pgMar w:top="1440" w:right="1800" w:bottom="1440" w:left="1800" w:header="851" w:footer="992" w:gutter="0"/>
          <w:pgNumType w:fmt="decimal"/>
          <w:cols w:space="720" w:num="1"/>
          <w:docGrid w:type="lines" w:linePitch="312" w:charSpace="0"/>
        </w:sectPr>
      </w:pPr>
    </w:p>
    <w:p>
      <w:pPr>
        <w:pStyle w:val="3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600" w:lineRule="exact"/>
        <w:ind w:left="0" w:leftChars="0" w:right="0" w:rightChars="0"/>
        <w:jc w:val="left"/>
        <w:textAlignment w:val="auto"/>
        <w:outlineLvl w:val="9"/>
        <w:rPr>
          <w:rFonts w:hint="default" w:ascii="Times New Roman" w:hAnsi="Times New Roman" w:eastAsia="黑体" w:cs="Times New Roman"/>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附件5</w:t>
      </w:r>
    </w:p>
    <w:p>
      <w:pPr>
        <w:pStyle w:val="35"/>
        <w:keepNext w:val="0"/>
        <w:keepLines w:val="0"/>
        <w:pageBreakBefore w:val="0"/>
        <w:widowControl w:val="0"/>
        <w:kinsoku/>
        <w:wordWrap/>
        <w:overflowPunct w:val="0"/>
        <w:topLinePunct w:val="0"/>
        <w:autoSpaceDE/>
        <w:autoSpaceDN/>
        <w:bidi w:val="0"/>
        <w:adjustRightInd w:val="0"/>
        <w:snapToGrid w:val="0"/>
        <w:spacing w:after="0" w:afterLines="0" w:line="560" w:lineRule="exact"/>
        <w:jc w:val="center"/>
        <w:textAlignment w:val="auto"/>
        <w:rPr>
          <w:rFonts w:hint="default" w:ascii="Times New Roman" w:hAnsi="Times New Roman" w:eastAsia="方正小标宋简体" w:cs="Times New Roman"/>
          <w:color w:val="000000" w:themeColor="text1"/>
          <w:kern w:val="2"/>
          <w:sz w:val="44"/>
          <w:szCs w:val="44"/>
          <w14:textFill>
            <w14:solidFill>
              <w14:schemeClr w14:val="tx1"/>
            </w14:solidFill>
          </w14:textFill>
        </w:rPr>
      </w:pPr>
      <w:r>
        <w:rPr>
          <w:rFonts w:hint="default" w:ascii="Times New Roman" w:hAnsi="Times New Roman" w:eastAsia="方正小标宋简体" w:cs="Times New Roman"/>
          <w:color w:val="000000" w:themeColor="text1"/>
          <w:kern w:val="2"/>
          <w:sz w:val="44"/>
          <w:szCs w:val="44"/>
          <w14:textFill>
            <w14:solidFill>
              <w14:schemeClr w14:val="tx1"/>
            </w14:solidFill>
          </w14:textFill>
        </w:rPr>
        <w:t>整治工作联络人名单</w:t>
      </w:r>
    </w:p>
    <w:p>
      <w:pPr>
        <w:keepNext w:val="0"/>
        <w:keepLines w:val="0"/>
        <w:pageBreakBefore w:val="0"/>
        <w:widowControl w:val="0"/>
        <w:kinsoku/>
        <w:wordWrap/>
        <w:overflowPunct w:val="0"/>
        <w:topLinePunct w:val="0"/>
        <w:autoSpaceDE/>
        <w:autoSpaceDN/>
        <w:bidi w:val="0"/>
        <w:spacing w:line="560" w:lineRule="exact"/>
        <w:ind w:left="1" w:hanging="1"/>
        <w:jc w:val="lef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填报单位：（盖章）</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p>
    <w:tbl>
      <w:tblPr>
        <w:tblStyle w:val="10"/>
        <w:tblW w:w="501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1"/>
        <w:gridCol w:w="1777"/>
        <w:gridCol w:w="3690"/>
        <w:gridCol w:w="1777"/>
        <w:gridCol w:w="1777"/>
        <w:gridCol w:w="1777"/>
        <w:gridCol w:w="1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分工</w:t>
            </w:r>
          </w:p>
        </w:tc>
        <w:tc>
          <w:tcPr>
            <w:tcW w:w="63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姓  名</w:t>
            </w:r>
          </w:p>
        </w:tc>
        <w:tc>
          <w:tcPr>
            <w:tcW w:w="13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工作单位及部门</w:t>
            </w:r>
          </w:p>
        </w:tc>
        <w:tc>
          <w:tcPr>
            <w:tcW w:w="63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职务</w:t>
            </w:r>
          </w:p>
        </w:tc>
        <w:tc>
          <w:tcPr>
            <w:tcW w:w="63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办公电话</w:t>
            </w:r>
          </w:p>
        </w:tc>
        <w:tc>
          <w:tcPr>
            <w:tcW w:w="63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手机号码</w:t>
            </w:r>
          </w:p>
        </w:tc>
        <w:tc>
          <w:tcPr>
            <w:tcW w:w="63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eastAsia"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482"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r>
              <w:rPr>
                <w:rFonts w:hint="default" w:ascii="Times New Roman" w:hAnsi="Times New Roman" w:eastAsia="仿宋_GB2312" w:cs="Times New Roman"/>
                <w:color w:val="000000" w:themeColor="text1"/>
                <w:kern w:val="0"/>
                <w:sz w:val="24"/>
                <w14:textFill>
                  <w14:solidFill>
                    <w14:schemeClr w14:val="tx1"/>
                  </w14:solidFill>
                </w14:textFill>
              </w:rPr>
              <w:t>负责人</w:t>
            </w: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1325"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jc w:val="center"/>
        </w:trPr>
        <w:tc>
          <w:tcPr>
            <w:tcW w:w="482"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r>
              <w:rPr>
                <w:rFonts w:hint="default" w:ascii="Times New Roman" w:hAnsi="Times New Roman" w:eastAsia="仿宋_GB2312" w:cs="Times New Roman"/>
                <w:color w:val="000000" w:themeColor="text1"/>
                <w:kern w:val="0"/>
                <w:sz w:val="24"/>
                <w14:textFill>
                  <w14:solidFill>
                    <w14:schemeClr w14:val="tx1"/>
                  </w14:solidFill>
                </w14:textFill>
              </w:rPr>
              <w:t>联系人</w:t>
            </w: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1325"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c>
          <w:tcPr>
            <w:tcW w:w="638" w:type="pct"/>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spacing w:line="560" w:lineRule="exact"/>
              <w:jc w:val="center"/>
              <w:textAlignment w:val="auto"/>
              <w:rPr>
                <w:rFonts w:hint="default" w:ascii="Times New Roman" w:hAnsi="Times New Roman" w:eastAsia="仿宋_GB2312" w:cs="Times New Roman"/>
                <w:color w:val="000000" w:themeColor="text1"/>
                <w:kern w:val="0"/>
                <w:sz w:val="24"/>
                <w14:textFill>
                  <w14:solidFill>
                    <w14:schemeClr w14:val="tx1"/>
                  </w14:solidFill>
                </w14:textFill>
              </w:rPr>
            </w:pPr>
          </w:p>
        </w:tc>
      </w:tr>
    </w:tbl>
    <w:p>
      <w:pPr>
        <w:pStyle w:val="34"/>
        <w:keepNext w:val="0"/>
        <w:keepLines w:val="0"/>
        <w:pageBreakBefore w:val="0"/>
        <w:widowControl w:val="0"/>
        <w:kinsoku/>
        <w:wordWrap/>
        <w:overflowPunct w:val="0"/>
        <w:topLinePunct w:val="0"/>
        <w:autoSpaceDE/>
        <w:autoSpaceDN/>
        <w:bidi w:val="0"/>
        <w:ind w:left="0" w:leftChars="0" w:firstLine="0" w:firstLineChars="0"/>
        <w:textAlignment w:val="auto"/>
        <w:rPr>
          <w:rFonts w:hint="default" w:ascii="Times New Roman" w:hAnsi="Times New Roman" w:eastAsia="文星仿宋" w:cs="Times New Roman"/>
          <w:color w:val="000000" w:themeColor="text1"/>
          <w:sz w:val="32"/>
          <w:szCs w:val="32"/>
          <w:lang w:val="en-US" w:eastAsia="zh-CN"/>
          <w14:textFill>
            <w14:solidFill>
              <w14:schemeClr w14:val="tx1"/>
            </w14:solidFill>
          </w14:textFill>
        </w:rPr>
        <w:sectPr>
          <w:footerReference r:id="rId21" w:type="default"/>
          <w:pgSz w:w="16838" w:h="11906" w:orient="landscape"/>
          <w:pgMar w:top="1701" w:right="1587" w:bottom="1587" w:left="1587" w:header="851" w:footer="992" w:gutter="0"/>
          <w:pgNumType w:fmt="decimal"/>
          <w:cols w:space="0" w:num="1"/>
          <w:rtlGutter w:val="0"/>
          <w:docGrid w:type="lines" w:linePitch="323" w:charSpace="0"/>
        </w:sectPr>
      </w:pPr>
    </w:p>
    <w:p>
      <w:pPr>
        <w:spacing w:line="600" w:lineRule="exact"/>
        <w:jc w:val="center"/>
        <w:rPr>
          <w:rFonts w:hint="eastAsia" w:ascii="文星仿宋" w:eastAsia="文星仿宋"/>
          <w:sz w:val="32"/>
          <w:szCs w:val="32"/>
        </w:rPr>
      </w:pPr>
    </w:p>
    <w:p>
      <w:pPr>
        <w:spacing w:line="600" w:lineRule="exact"/>
        <w:jc w:val="center"/>
        <w:rPr>
          <w:rFonts w:hint="eastAsia" w:ascii="文星仿宋" w:eastAsia="文星仿宋"/>
          <w:sz w:val="32"/>
          <w:szCs w:val="32"/>
        </w:rPr>
      </w:pPr>
    </w:p>
    <w:p>
      <w:pPr>
        <w:spacing w:line="560" w:lineRule="exact"/>
        <w:jc w:val="center"/>
        <w:rPr>
          <w:rFonts w:hint="eastAsia" w:ascii="文星仿宋" w:eastAsia="文星仿宋"/>
          <w:sz w:val="32"/>
          <w:szCs w:val="32"/>
        </w:rPr>
      </w:pPr>
    </w:p>
    <w:p>
      <w:pPr>
        <w:pStyle w:val="2"/>
        <w:rPr>
          <w:rFonts w:hint="eastAsia"/>
        </w:rPr>
      </w:pPr>
    </w:p>
    <w:p>
      <w:pPr>
        <w:rPr>
          <w:rFonts w:hint="eastAsia"/>
        </w:rPr>
      </w:pPr>
    </w:p>
    <w:p>
      <w:pPr>
        <w:spacing w:line="600" w:lineRule="exact"/>
        <w:jc w:val="center"/>
        <w:rPr>
          <w:rFonts w:hint="eastAsia" w:ascii="文星仿宋" w:eastAsia="文星仿宋"/>
          <w:sz w:val="32"/>
          <w:szCs w:val="32"/>
        </w:rPr>
      </w:pPr>
    </w:p>
    <w:p>
      <w:pPr>
        <w:spacing w:line="600" w:lineRule="exact"/>
        <w:jc w:val="center"/>
        <w:rPr>
          <w:rFonts w:hint="eastAsia" w:ascii="文星仿宋" w:eastAsia="文星仿宋"/>
          <w:sz w:val="32"/>
          <w:szCs w:val="32"/>
        </w:rPr>
      </w:pPr>
      <w:r>
        <w:rPr>
          <w:rFonts w:hint="eastAsia" w:ascii="文星仿宋" w:eastAsia="文星仿宋"/>
          <w:sz w:val="32"/>
          <w:szCs w:val="32"/>
        </w:rPr>
        <w:t>郯政办发</w:t>
      </w:r>
      <w:r>
        <w:rPr>
          <w:rFonts w:hint="eastAsia" w:ascii="文星仿宋" w:eastAsia="文星仿宋"/>
          <w:color w:val="000000"/>
          <w:sz w:val="32"/>
          <w:szCs w:val="32"/>
        </w:rPr>
        <w:t>〔2021〕6</w:t>
      </w:r>
      <w:r>
        <w:rPr>
          <w:rFonts w:hint="eastAsia" w:ascii="文星仿宋" w:eastAsia="文星仿宋"/>
          <w:sz w:val="32"/>
          <w:szCs w:val="32"/>
        </w:rPr>
        <w:t>号</w:t>
      </w:r>
    </w:p>
    <w:p>
      <w:pPr>
        <w:spacing w:line="600" w:lineRule="exact"/>
        <w:jc w:val="center"/>
        <w:rPr>
          <w:rFonts w:hint="eastAsia" w:ascii="文星仿宋" w:eastAsia="文星仿宋"/>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郯城县人民政府办公室</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关于印发《郯城县集体经营性建设用地入市</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暂行办法》的通知</w:t>
      </w:r>
    </w:p>
    <w:p>
      <w:pPr>
        <w:autoSpaceDE w:val="0"/>
        <w:autoSpaceDN w:val="0"/>
        <w:adjustRightInd w:val="0"/>
        <w:snapToGrid w:val="0"/>
        <w:spacing w:line="600" w:lineRule="exact"/>
        <w:rPr>
          <w:rFonts w:hint="eastAsia" w:ascii="文星仿宋" w:eastAsia="文星仿宋" w:cs="仿宋_GB2312"/>
          <w:color w:val="000000"/>
          <w:kern w:val="0"/>
          <w:sz w:val="32"/>
          <w:szCs w:val="32"/>
          <w:lang w:val="zh-CN"/>
        </w:rPr>
      </w:pPr>
    </w:p>
    <w:p>
      <w:pPr>
        <w:spacing w:line="600" w:lineRule="exact"/>
        <w:rPr>
          <w:rFonts w:hint="eastAsia" w:ascii="文星仿宋" w:eastAsia="文星仿宋"/>
          <w:sz w:val="32"/>
          <w:szCs w:val="32"/>
        </w:rPr>
      </w:pPr>
      <w:r>
        <w:rPr>
          <w:rFonts w:hint="eastAsia" w:ascii="文星仿宋" w:eastAsia="文星仿宋"/>
          <w:sz w:val="32"/>
          <w:szCs w:val="32"/>
        </w:rPr>
        <w:t>各乡镇人民政府、郯城街道办事处，县政府各部门，科级以上事业单位，省、市直驻郯各单位，郯城经济开发区管委会</w:t>
      </w:r>
      <w:bookmarkStart w:id="2" w:name="OLE_LINK2"/>
      <w:r>
        <w:rPr>
          <w:rFonts w:hint="eastAsia" w:ascii="文星仿宋" w:eastAsia="文星仿宋"/>
          <w:sz w:val="32"/>
          <w:szCs w:val="32"/>
        </w:rPr>
        <w:t>，马陵山景区管委会</w:t>
      </w:r>
      <w:bookmarkEnd w:id="2"/>
      <w:r>
        <w:rPr>
          <w:rFonts w:hint="eastAsia" w:ascii="文星仿宋" w:eastAsia="文星仿宋"/>
          <w:sz w:val="32"/>
          <w:szCs w:val="32"/>
        </w:rPr>
        <w:t>，新村银杏产业开发区管委会：</w:t>
      </w:r>
    </w:p>
    <w:p>
      <w:pPr>
        <w:spacing w:line="600" w:lineRule="exact"/>
        <w:ind w:firstLine="640" w:firstLineChars="200"/>
        <w:rPr>
          <w:rFonts w:hint="eastAsia" w:ascii="文星仿宋" w:hAnsi="仿宋" w:eastAsia="文星仿宋"/>
          <w:color w:val="000000"/>
          <w:sz w:val="32"/>
          <w:szCs w:val="32"/>
        </w:rPr>
      </w:pPr>
      <w:r>
        <w:rPr>
          <w:rFonts w:hint="eastAsia" w:ascii="文星仿宋" w:hAnsi="仿宋" w:eastAsia="文星仿宋"/>
          <w:color w:val="000000"/>
          <w:sz w:val="32"/>
          <w:szCs w:val="32"/>
        </w:rPr>
        <w:t>《郯城县集体经营性建设用地入市暂行办法》已经县政府研究同意，现印发给你们，请认真遵照执行。</w:t>
      </w:r>
    </w:p>
    <w:p>
      <w:pPr>
        <w:spacing w:line="600" w:lineRule="exact"/>
        <w:ind w:firstLine="640" w:firstLineChars="200"/>
        <w:rPr>
          <w:rFonts w:hint="eastAsia" w:ascii="文星仿宋" w:hAnsi="仿宋" w:eastAsia="文星仿宋"/>
          <w:color w:val="000000"/>
          <w:sz w:val="32"/>
          <w:szCs w:val="32"/>
        </w:rPr>
      </w:pPr>
    </w:p>
    <w:p>
      <w:pPr>
        <w:spacing w:line="600" w:lineRule="exact"/>
        <w:rPr>
          <w:rFonts w:hint="eastAsia" w:ascii="文星仿宋" w:hAnsi="仿宋" w:eastAsia="文星仿宋"/>
          <w:color w:val="000000"/>
          <w:sz w:val="32"/>
          <w:szCs w:val="32"/>
        </w:rPr>
      </w:pPr>
    </w:p>
    <w:p>
      <w:pPr>
        <w:spacing w:line="600" w:lineRule="exact"/>
        <w:jc w:val="right"/>
        <w:rPr>
          <w:rFonts w:hint="eastAsia" w:ascii="文星仿宋" w:hAnsi="仿宋" w:eastAsia="文星仿宋"/>
          <w:color w:val="000000"/>
          <w:sz w:val="32"/>
          <w:szCs w:val="32"/>
        </w:rPr>
      </w:pPr>
      <w:r>
        <w:rPr>
          <w:rFonts w:hint="eastAsia" w:ascii="文星仿宋" w:hAnsi="仿宋" w:eastAsia="文星仿宋"/>
          <w:color w:val="000000"/>
          <w:sz w:val="32"/>
          <w:szCs w:val="32"/>
        </w:rPr>
        <w:t>郯城县人民政府办公室</w:t>
      </w:r>
    </w:p>
    <w:p>
      <w:pPr>
        <w:wordWrap w:val="0"/>
        <w:spacing w:line="600" w:lineRule="exact"/>
        <w:ind w:right="320"/>
        <w:jc w:val="right"/>
        <w:rPr>
          <w:rFonts w:hint="eastAsia" w:ascii="文星仿宋" w:hAnsi="仿宋" w:eastAsia="文星仿宋"/>
          <w:color w:val="000000"/>
          <w:sz w:val="32"/>
          <w:szCs w:val="32"/>
        </w:rPr>
      </w:pPr>
      <w:r>
        <w:rPr>
          <w:rFonts w:hint="eastAsia" w:ascii="文星仿宋" w:hAnsi="仿宋" w:eastAsia="文星仿宋"/>
          <w:color w:val="000000"/>
          <w:sz w:val="32"/>
          <w:szCs w:val="32"/>
        </w:rPr>
        <w:t>2021年9月13日</w:t>
      </w:r>
    </w:p>
    <w:p>
      <w:pPr>
        <w:wordWrap w:val="0"/>
        <w:spacing w:line="600" w:lineRule="exact"/>
        <w:ind w:right="320"/>
        <w:jc w:val="right"/>
        <w:rPr>
          <w:rFonts w:hint="eastAsia" w:ascii="文星仿宋" w:hAnsi="仿宋" w:eastAsia="文星仿宋"/>
          <w:color w:val="000000"/>
          <w:sz w:val="32"/>
          <w:szCs w:val="32"/>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郯城县集体经营性建设用地入市暂行办法</w:t>
      </w:r>
    </w:p>
    <w:p>
      <w:pPr>
        <w:spacing w:line="560" w:lineRule="exact"/>
        <w:jc w:val="center"/>
        <w:rPr>
          <w:rFonts w:hint="eastAsia" w:ascii="方正小标宋简体" w:eastAsia="方正小标宋简体"/>
          <w:sz w:val="44"/>
          <w:szCs w:val="44"/>
        </w:rPr>
      </w:pPr>
    </w:p>
    <w:p>
      <w:pPr>
        <w:spacing w:line="560" w:lineRule="exact"/>
        <w:jc w:val="center"/>
        <w:rPr>
          <w:rFonts w:hint="eastAsia" w:ascii="仿宋_GB2312" w:eastAsia="仿宋_GB2312"/>
          <w:sz w:val="32"/>
          <w:szCs w:val="32"/>
        </w:rPr>
      </w:pPr>
      <w:r>
        <w:rPr>
          <w:rFonts w:hint="eastAsia" w:ascii="黑体" w:hAnsi="黑体" w:eastAsia="黑体"/>
          <w:sz w:val="32"/>
          <w:szCs w:val="32"/>
        </w:rPr>
        <w:t>第一章 总则</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第一条  为规范集体经营性建设用地入市行为，保障农民合法权益，构建城乡统一的建设用地市场，根据新修订的《中华人民共和国土地管理法》、《中华人民共和国土地管理法实施条例》和国家关于集体经营性建设用地入市相关文件规定，结合我县实际，制定本暂行办法。</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第二条  本办法所称集体经营性建设用地，是指土地利用总体规划、城乡规划确定为工业、商业等经营性用途，且已依法办理土地所有权登记的集体经营性建设用地。</w:t>
      </w:r>
    </w:p>
    <w:p>
      <w:pPr>
        <w:spacing w:line="560" w:lineRule="exact"/>
        <w:rPr>
          <w:rFonts w:hint="eastAsia" w:ascii="仿宋_GB2312" w:eastAsia="仿宋_GB2312"/>
          <w:sz w:val="32"/>
          <w:szCs w:val="32"/>
        </w:rPr>
      </w:pPr>
      <w:r>
        <w:rPr>
          <w:rFonts w:hint="eastAsia" w:ascii="仿宋_GB2312" w:eastAsia="仿宋_GB2312"/>
          <w:sz w:val="32"/>
          <w:szCs w:val="32"/>
        </w:rPr>
        <w:t>　　集体经营性建设用地入市由本集体经济组织或者授权的实施主体开展，是指在所有权不变的前提下，按照依法、自愿、公平、公开的原则，土地所有权人可以通过出让、出租等方式交由单位或者个人在一定年限内有偿使用，并以书面合同约定权利义务的行为。</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第三条  集体经营性建设用地入市主体是代表集体经营性建设用地所有权的农村集体经济组织。集体经营性建设用地属村农民集体所有的，由村集体经济组织或者村民委员会作为入市主体；属镇街农民集体所有的，由镇人民政府（街道办事处）作为入市主体。</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第四条　在本区行政区域内实施集体经营性建设用地入市的，适用本办法。</w:t>
      </w:r>
    </w:p>
    <w:p>
      <w:pPr>
        <w:spacing w:line="560" w:lineRule="exact"/>
        <w:jc w:val="center"/>
        <w:rPr>
          <w:rFonts w:hint="eastAsia" w:ascii="仿宋_GB2312" w:eastAsia="仿宋_GB2312"/>
          <w:sz w:val="32"/>
          <w:szCs w:val="32"/>
        </w:rPr>
      </w:pPr>
      <w:r>
        <w:rPr>
          <w:rFonts w:hint="eastAsia" w:ascii="黑体" w:hAnsi="黑体" w:eastAsia="黑体"/>
          <w:sz w:val="32"/>
          <w:szCs w:val="32"/>
        </w:rPr>
        <w:t>第二章 入市条件和途径</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第五条　使用集体经营性建设用地的项目原则上为整体经营的工业、商服等项目。</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第六条 拟入市的集体经营性建设用地应当符合以下条件：</w:t>
      </w:r>
    </w:p>
    <w:p>
      <w:pPr>
        <w:spacing w:line="560" w:lineRule="exact"/>
        <w:rPr>
          <w:rFonts w:hint="eastAsia" w:ascii="仿宋_GB2312" w:eastAsia="仿宋_GB2312"/>
          <w:sz w:val="32"/>
          <w:szCs w:val="32"/>
        </w:rPr>
      </w:pPr>
      <w:r>
        <w:rPr>
          <w:rFonts w:hint="eastAsia" w:ascii="仿宋_GB2312" w:eastAsia="仿宋_GB2312"/>
          <w:sz w:val="32"/>
          <w:szCs w:val="32"/>
        </w:rPr>
        <w:t xml:space="preserve">    （一）符合土地利用总体规划、城乡规划等相关要求；</w:t>
      </w:r>
    </w:p>
    <w:p>
      <w:pPr>
        <w:spacing w:line="560" w:lineRule="exact"/>
        <w:rPr>
          <w:rFonts w:hint="eastAsia" w:ascii="仿宋_GB2312" w:eastAsia="仿宋_GB2312"/>
          <w:sz w:val="32"/>
          <w:szCs w:val="32"/>
        </w:rPr>
      </w:pPr>
      <w:r>
        <w:rPr>
          <w:rFonts w:hint="eastAsia" w:ascii="仿宋_GB2312" w:eastAsia="仿宋_GB2312"/>
          <w:sz w:val="32"/>
          <w:szCs w:val="32"/>
        </w:rPr>
        <w:t xml:space="preserve">    （二）符合国家产业政策、土地使用标准、生态环境保护等政策及标准要求；</w:t>
      </w:r>
    </w:p>
    <w:p>
      <w:pPr>
        <w:spacing w:line="560" w:lineRule="exact"/>
        <w:rPr>
          <w:rFonts w:hint="eastAsia" w:ascii="仿宋_GB2312" w:eastAsia="仿宋_GB2312"/>
          <w:sz w:val="32"/>
          <w:szCs w:val="32"/>
        </w:rPr>
      </w:pPr>
      <w:r>
        <w:rPr>
          <w:rFonts w:hint="eastAsia" w:ascii="仿宋_GB2312" w:eastAsia="仿宋_GB2312"/>
          <w:sz w:val="32"/>
          <w:szCs w:val="32"/>
        </w:rPr>
        <w:t xml:space="preserve">    （三）产权明晰，界址清楚，无权属争议，未被司法机关查封或行政机关限制土地权利且已依法完成集体土地所有权登记；</w:t>
      </w:r>
    </w:p>
    <w:p>
      <w:pPr>
        <w:spacing w:line="560" w:lineRule="exact"/>
        <w:rPr>
          <w:rFonts w:hint="eastAsia" w:ascii="仿宋_GB2312" w:eastAsia="仿宋_GB2312"/>
          <w:sz w:val="32"/>
          <w:szCs w:val="32"/>
        </w:rPr>
      </w:pPr>
      <w:r>
        <w:rPr>
          <w:rFonts w:hint="eastAsia" w:ascii="仿宋_GB2312" w:eastAsia="仿宋_GB2312"/>
          <w:sz w:val="32"/>
          <w:szCs w:val="32"/>
        </w:rPr>
        <w:t xml:space="preserve">    （四）具备必要的通路、通水、通电、土地平整等开发建设条件，但集体经营性建设用地使用权交易双方另有约定的除外；</w:t>
      </w:r>
    </w:p>
    <w:p>
      <w:pPr>
        <w:spacing w:line="560" w:lineRule="exact"/>
        <w:rPr>
          <w:rFonts w:hint="eastAsia" w:ascii="仿宋_GB2312" w:eastAsia="仿宋_GB2312"/>
          <w:sz w:val="32"/>
          <w:szCs w:val="32"/>
        </w:rPr>
      </w:pPr>
      <w:r>
        <w:rPr>
          <w:rFonts w:hint="eastAsia" w:ascii="仿宋_GB2312" w:eastAsia="仿宋_GB2312"/>
          <w:sz w:val="32"/>
          <w:szCs w:val="32"/>
        </w:rPr>
        <w:t xml:space="preserve">    （五）宗地上的建（构）筑物和附属设施权属明晰，未被司法机关依法查封或以其他方式限制权利；</w:t>
      </w:r>
    </w:p>
    <w:p>
      <w:pPr>
        <w:spacing w:line="560" w:lineRule="exact"/>
        <w:rPr>
          <w:rFonts w:hint="eastAsia" w:ascii="仿宋_GB2312" w:eastAsia="仿宋_GB2312"/>
          <w:sz w:val="32"/>
          <w:szCs w:val="32"/>
        </w:rPr>
      </w:pPr>
      <w:r>
        <w:rPr>
          <w:rFonts w:hint="eastAsia" w:ascii="仿宋_GB2312" w:eastAsia="仿宋_GB2312"/>
          <w:sz w:val="32"/>
          <w:szCs w:val="32"/>
        </w:rPr>
        <w:t xml:space="preserve">    （六）法律法规规定的其他条件。</w:t>
      </w:r>
    </w:p>
    <w:p>
      <w:pPr>
        <w:spacing w:line="560" w:lineRule="exact"/>
        <w:rPr>
          <w:rFonts w:hint="eastAsia" w:ascii="黑体" w:hAnsi="黑体" w:eastAsia="黑体"/>
          <w:sz w:val="32"/>
          <w:szCs w:val="32"/>
        </w:rPr>
      </w:pPr>
      <w:r>
        <w:rPr>
          <w:rFonts w:hint="eastAsia" w:ascii="仿宋_GB2312" w:eastAsia="仿宋_GB2312"/>
          <w:sz w:val="32"/>
          <w:szCs w:val="32"/>
        </w:rPr>
        <w:t xml:space="preserve">    </w:t>
      </w:r>
    </w:p>
    <w:p>
      <w:pPr>
        <w:spacing w:line="560" w:lineRule="exact"/>
        <w:jc w:val="center"/>
        <w:rPr>
          <w:rFonts w:hint="eastAsia" w:ascii="仿宋_GB2312" w:hAnsi="Calibri" w:eastAsia="仿宋_GB2312"/>
          <w:sz w:val="32"/>
          <w:szCs w:val="32"/>
        </w:rPr>
      </w:pPr>
      <w:r>
        <w:rPr>
          <w:rFonts w:hint="eastAsia" w:ascii="黑体" w:hAnsi="黑体" w:eastAsia="黑体"/>
          <w:sz w:val="32"/>
          <w:szCs w:val="32"/>
        </w:rPr>
        <w:t>第三章 入市方式及程序</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第七条  集体经营性建设用地使用权出让、出租应采取招标、拍卖、挂牌或者协议等方式确定土地使用者。</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第八条  集体经营性建设用地可按出让、出租、作价出资（入股）等有偿使用方式入市，并根据实际情况确定出让（出租、作价出资）年限，最高年限参照同类用途的国有建设用地执行。</w:t>
      </w:r>
    </w:p>
    <w:p>
      <w:pPr>
        <w:spacing w:line="560" w:lineRule="exact"/>
        <w:rPr>
          <w:rFonts w:hint="eastAsia" w:ascii="仿宋_GB2312" w:eastAsia="仿宋_GB2312"/>
          <w:sz w:val="32"/>
          <w:szCs w:val="32"/>
        </w:rPr>
      </w:pPr>
      <w:r>
        <w:rPr>
          <w:rFonts w:hint="eastAsia" w:ascii="仿宋_GB2312" w:eastAsia="仿宋_GB2312"/>
          <w:sz w:val="32"/>
          <w:szCs w:val="32"/>
        </w:rPr>
        <w:t xml:space="preserve">    第九条 集体经营性建设用地使用权入市按以下程序进行：</w:t>
      </w:r>
    </w:p>
    <w:p>
      <w:pPr>
        <w:spacing w:line="560" w:lineRule="exact"/>
        <w:rPr>
          <w:rFonts w:hint="eastAsia" w:ascii="仿宋_GB2312" w:eastAsia="仿宋_GB2312"/>
          <w:sz w:val="32"/>
          <w:szCs w:val="32"/>
        </w:rPr>
      </w:pPr>
      <w:r>
        <w:rPr>
          <w:rFonts w:hint="eastAsia" w:ascii="仿宋_GB2312" w:eastAsia="仿宋_GB2312"/>
          <w:sz w:val="32"/>
          <w:szCs w:val="32"/>
        </w:rPr>
        <w:t xml:space="preserve">    （一）申请。对符合本办法第六条规定入市条件的地块，土地所有权人向县自然资源和规划局提交明确规划条件等内容的申请。申请书应当写明拟入市宗地位置、权属、地上附着物等基本情况。</w:t>
      </w:r>
    </w:p>
    <w:p>
      <w:pPr>
        <w:spacing w:line="560" w:lineRule="exact"/>
        <w:rPr>
          <w:rFonts w:hint="eastAsia" w:ascii="仿宋_GB2312" w:eastAsia="仿宋_GB2312"/>
          <w:sz w:val="32"/>
          <w:szCs w:val="32"/>
        </w:rPr>
      </w:pPr>
      <w:r>
        <w:rPr>
          <w:rFonts w:hint="eastAsia" w:ascii="仿宋_GB2312" w:eastAsia="仿宋_GB2312"/>
          <w:sz w:val="32"/>
          <w:szCs w:val="32"/>
        </w:rPr>
        <w:t>　  （二）明确规划条件。自然资源和规划部门依据国土空间规划提出拟出让、出租的集体经营性建设用地的规划条件，明确土地界址、面积、用途和开发建设强度等。并会同有关部门提出产业准入和生态环境保护要求。</w:t>
      </w:r>
    </w:p>
    <w:p>
      <w:pPr>
        <w:spacing w:line="560" w:lineRule="exact"/>
        <w:rPr>
          <w:rFonts w:hint="eastAsia" w:ascii="仿宋_GB2312" w:eastAsia="仿宋_GB2312"/>
          <w:sz w:val="32"/>
          <w:szCs w:val="32"/>
        </w:rPr>
      </w:pPr>
      <w:r>
        <w:rPr>
          <w:rFonts w:hint="eastAsia" w:ascii="仿宋_GB2312" w:eastAsia="仿宋_GB2312"/>
          <w:sz w:val="32"/>
          <w:szCs w:val="32"/>
        </w:rPr>
        <w:t xml:space="preserve">    （三）拟定方案。土地所有权人依据规划条件、产业准入和生态环境保护要求等，编制集体经营性建设用地出让、出租等方案。入市方案应当包括以下内容：宗地的土地界址、面积、用途、规划条件、产业准入和生态环境保护要求、使用期限、交易方式、入市价格、集体收益分配安排等内容。方案经所属乡镇（街道办事处）书记办公会或党政联席会议决定，出具是否同意入市的审核意见。</w:t>
      </w:r>
    </w:p>
    <w:p>
      <w:pPr>
        <w:spacing w:line="560" w:lineRule="exact"/>
        <w:rPr>
          <w:rFonts w:hint="eastAsia" w:ascii="仿宋_GB2312" w:eastAsia="仿宋_GB2312"/>
          <w:sz w:val="32"/>
          <w:szCs w:val="32"/>
        </w:rPr>
      </w:pPr>
      <w:r>
        <w:rPr>
          <w:rFonts w:hint="eastAsia" w:ascii="仿宋_GB2312" w:eastAsia="仿宋_GB2312"/>
          <w:sz w:val="32"/>
          <w:szCs w:val="32"/>
        </w:rPr>
        <w:t xml:space="preserve">    （四）方案审查。入市方案由土地所有权人在出让、出租前不少于十个工作日报县人民政府。县人民政府认为该方案不符合规划条件或者产业准入和生态环境保护要求等的，应当在收到方案后五个工作日内提出修改意见。土地所有权人应当按照县人民政府的意见进行修改。</w:t>
      </w:r>
    </w:p>
    <w:p>
      <w:pPr>
        <w:spacing w:line="560" w:lineRule="exact"/>
        <w:rPr>
          <w:rFonts w:hint="eastAsia" w:ascii="仿宋_GB2312" w:eastAsia="仿宋_GB2312"/>
          <w:sz w:val="32"/>
          <w:szCs w:val="32"/>
        </w:rPr>
      </w:pPr>
      <w:r>
        <w:rPr>
          <w:rFonts w:hint="eastAsia" w:ascii="仿宋_GB2312" w:eastAsia="仿宋_GB2312"/>
          <w:sz w:val="32"/>
          <w:szCs w:val="32"/>
        </w:rPr>
        <w:t xml:space="preserve">    （五）挂牌出让。根据政府批准文件，编制集体建设用地出让文件公告，公告在相关媒体上发布，公告期不少于28天。</w:t>
      </w:r>
    </w:p>
    <w:p>
      <w:pPr>
        <w:spacing w:line="560" w:lineRule="exact"/>
        <w:rPr>
          <w:rFonts w:hint="eastAsia" w:ascii="仿宋_GB2312" w:eastAsia="仿宋_GB2312"/>
          <w:sz w:val="32"/>
          <w:szCs w:val="32"/>
        </w:rPr>
      </w:pPr>
      <w:r>
        <w:rPr>
          <w:rFonts w:hint="eastAsia" w:ascii="仿宋_GB2312" w:eastAsia="仿宋_GB2312"/>
          <w:sz w:val="32"/>
          <w:szCs w:val="32"/>
        </w:rPr>
        <w:t xml:space="preserve">    (六)签订出让合同。土地所有权人与竞得人双方签订书面合同，载明土地界址、面积、用途、规划条件、使用期限、交易价款支付、交地时间和开工竣工期限、产业准入和生态环境保护要求，约定提前收回的条件、补偿方式、土地使用权届满续期和地上建筑物、构筑物等附着物处理方式，以及违约责任和解决争议的方法等，并报县自然资源和规划局备案。未依法将规划条件、产业准入和生态环境保护要求纳入合同的，合同无效；造成损失的，依法承担民事责任。以标准地出让的，受让人还须签订项目投资建设协议。</w:t>
      </w:r>
    </w:p>
    <w:p>
      <w:pPr>
        <w:spacing w:line="560" w:lineRule="exact"/>
        <w:rPr>
          <w:rFonts w:hint="eastAsia" w:ascii="仿宋_GB2312" w:eastAsia="仿宋_GB2312"/>
          <w:sz w:val="32"/>
          <w:szCs w:val="32"/>
        </w:rPr>
      </w:pPr>
      <w:r>
        <w:rPr>
          <w:rFonts w:hint="eastAsia" w:ascii="仿宋_GB2312" w:eastAsia="仿宋_GB2312"/>
          <w:sz w:val="32"/>
          <w:szCs w:val="32"/>
        </w:rPr>
        <w:t xml:space="preserve">    （七）不动产权登记。集体经营性建设用地使用者应当按照约定及时支付集体经营性建设用地价款，并依法缴纳相关税费，依法申请办理不动产登记。</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第十条  集体经营性建设用地入市取得的收益，农村集体经济组织应当按照规定纳入农村集体资产及收益进行统一管理，接受审计监督和监管。集体经营性建设用地入市收益主要用于农村、农业、农民，壮大村集体经济。地块出让时必要的通电、通路、通水、场地平整、污水处理等前期配套设施建设资金由入市主体承担，可纳入地块出让成本。</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第十一条  集体经济组织通过出让、租赁、作价出资（入股）等方式取得集体经营性建设用地入市收益时，应当缴纳土地增值收益调节金，征收比例暂时按照土地增值收益的50％征收， 其余50％归入市主体分配，待上级入市政策明确后重新调整比例。调节金全额上交县国库。增值收益是扣除土地补偿费、地上物补偿费、青苗补偿费、耕地开垦费、新增建设用地土地有偿使用费、耕地占用税和社保等费用后的净收益。</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第十二条  通过出让等方式取得的集体经营性建设用地使用权依法转让、互换、出资、赠与或者抵押的，双方应当签订书面合同，并书面通知土地所有权人。</w:t>
      </w:r>
    </w:p>
    <w:p>
      <w:pPr>
        <w:spacing w:line="560" w:lineRule="exact"/>
        <w:rPr>
          <w:rFonts w:hint="eastAsia" w:ascii="仿宋_GB2312" w:eastAsia="仿宋_GB2312"/>
          <w:sz w:val="32"/>
          <w:szCs w:val="32"/>
        </w:rPr>
      </w:pPr>
      <w:r>
        <w:rPr>
          <w:rFonts w:hint="eastAsia" w:ascii="仿宋_GB2312" w:eastAsia="仿宋_GB2312"/>
          <w:sz w:val="32"/>
          <w:szCs w:val="32"/>
        </w:rPr>
        <w:t>　　集体经营性建设用地的出租，集体建设用地使用权的出让及其最高年限、转让、互换、出资、赠与、抵押等，参照同类用途的国有建设用地执行，法律、行政法规另有规定的除外。</w:t>
      </w:r>
    </w:p>
    <w:p>
      <w:pPr>
        <w:spacing w:line="560" w:lineRule="exact"/>
        <w:rPr>
          <w:rFonts w:hint="eastAsia" w:ascii="仿宋_GB2312" w:eastAsia="仿宋_GB2312"/>
          <w:sz w:val="32"/>
          <w:szCs w:val="32"/>
        </w:rPr>
      </w:pPr>
      <w:r>
        <w:rPr>
          <w:rFonts w:hint="eastAsia" w:ascii="仿宋_GB2312" w:eastAsia="仿宋_GB2312"/>
          <w:sz w:val="32"/>
          <w:szCs w:val="32"/>
        </w:rPr>
        <w:t>　　　　　</w:t>
      </w:r>
    </w:p>
    <w:p>
      <w:pPr>
        <w:spacing w:line="560" w:lineRule="exact"/>
        <w:jc w:val="center"/>
        <w:rPr>
          <w:rFonts w:hint="eastAsia" w:ascii="仿宋_GB2312" w:eastAsia="仿宋_GB2312"/>
          <w:sz w:val="32"/>
          <w:szCs w:val="32"/>
        </w:rPr>
      </w:pPr>
      <w:r>
        <w:rPr>
          <w:rFonts w:hint="eastAsia" w:ascii="黑体" w:hAnsi="黑体" w:eastAsia="黑体"/>
          <w:sz w:val="32"/>
          <w:szCs w:val="32"/>
        </w:rPr>
        <w:t>第四章  开发管理</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第十三条  依法取得集体经营性建设用地的使用权人，应按照法律法规有关规定和土地出让（租赁）合同确定的开发期限、土地用途及相关土地使用条件开发利用土地。</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第十四条  集体经营性建设用地土地所有权人负责监督使用权人按照土地出让（租赁）合同约定的开发期限开发土地。对未按土地出让（租赁）合同约定的开发期限开发的，由土地所有权人依照合同追究相应的违约责任。</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第十五条  集体经营性建设用地使用权出让、出租期限届满的，应当按出让（租赁）合同的约定进行办理，法律法规另有规定的除外。</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第十六条  因公共利益需要等原因需提前收回集体经营土地使用权的，应当按出让（租赁）合同的约定进行办理，并对相关权益人依法给予合理补偿，法律法规另有规定的除外。</w:t>
      </w:r>
    </w:p>
    <w:p>
      <w:pPr>
        <w:spacing w:line="560" w:lineRule="exact"/>
        <w:jc w:val="center"/>
        <w:rPr>
          <w:rFonts w:hint="eastAsia" w:ascii="黑体" w:hAnsi="黑体" w:eastAsia="黑体"/>
          <w:sz w:val="32"/>
          <w:szCs w:val="32"/>
        </w:rPr>
      </w:pPr>
    </w:p>
    <w:p>
      <w:pPr>
        <w:spacing w:line="560" w:lineRule="exact"/>
        <w:jc w:val="center"/>
        <w:rPr>
          <w:rFonts w:hint="eastAsia" w:ascii="仿宋_GB2312" w:hAnsi="Calibri" w:eastAsia="仿宋_GB2312"/>
          <w:sz w:val="32"/>
          <w:szCs w:val="32"/>
        </w:rPr>
      </w:pPr>
      <w:r>
        <w:rPr>
          <w:rFonts w:hint="eastAsia" w:ascii="黑体" w:hAnsi="黑体" w:eastAsia="黑体"/>
          <w:sz w:val="32"/>
          <w:szCs w:val="32"/>
        </w:rPr>
        <w:t>第五章  法律责任</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第十七条 国家工作人员、农村集体经济组织经营管理者在集体经营性建设用地入市过程中存在玩忽职守、滥用职权、徇私舞弊、弄虚作假等行为，造成集体资产流失的，由所在单位或者上级机关给予行政处分；构成犯罪的，依法移送司法机关追究刑事责任。集体经营性建设用地使用权人存在未按约定交纳土地出让金（租金）、未按约定开发建设期限开发建设、未按约定使用条件使用集体经营性建设用地等行为的参照国有建设用地相关规定处置；构成犯罪的依法移送司法机关追究刑事责任。</w:t>
      </w:r>
    </w:p>
    <w:p>
      <w:pPr>
        <w:spacing w:line="560" w:lineRule="exact"/>
        <w:jc w:val="center"/>
        <w:rPr>
          <w:rFonts w:hint="eastAsia" w:ascii="黑体" w:hAnsi="黑体" w:eastAsia="黑体"/>
          <w:sz w:val="32"/>
          <w:szCs w:val="32"/>
        </w:rPr>
      </w:pPr>
    </w:p>
    <w:p>
      <w:pPr>
        <w:spacing w:line="560" w:lineRule="exact"/>
        <w:jc w:val="center"/>
        <w:rPr>
          <w:rFonts w:hint="eastAsia" w:ascii="仿宋_GB2312" w:hAnsi="Calibri" w:eastAsia="仿宋_GB2312"/>
          <w:sz w:val="32"/>
          <w:szCs w:val="32"/>
        </w:rPr>
      </w:pPr>
      <w:r>
        <w:rPr>
          <w:rFonts w:hint="eastAsia" w:ascii="黑体" w:hAnsi="黑体" w:eastAsia="黑体"/>
          <w:sz w:val="32"/>
          <w:szCs w:val="32"/>
        </w:rPr>
        <w:t>第六章  附则</w:t>
      </w:r>
    </w:p>
    <w:p>
      <w:pPr>
        <w:spacing w:line="560" w:lineRule="exact"/>
        <w:rPr>
          <w:rFonts w:hint="eastAsia" w:ascii="仿宋_GB2312" w:eastAsia="仿宋_GB2312"/>
          <w:sz w:val="32"/>
          <w:szCs w:val="32"/>
        </w:rPr>
      </w:pPr>
      <w:r>
        <w:rPr>
          <w:rFonts w:hint="eastAsia" w:ascii="仿宋_GB2312" w:eastAsia="仿宋_GB2312"/>
          <w:sz w:val="32"/>
          <w:szCs w:val="32"/>
        </w:rPr>
        <w:t xml:space="preserve">    第十八条  本暂行办法自发布之日起实施，实施期间国家、省、市颁布关于集体经营性建设用地入市相关规定的，按要求进行相应调整或从其规定。</w:t>
      </w:r>
    </w:p>
    <w:p>
      <w:pPr>
        <w:spacing w:line="560" w:lineRule="exact"/>
        <w:rPr>
          <w:rFonts w:hint="eastAsia" w:ascii="仿宋_GB2312" w:eastAsia="仿宋_GB2312"/>
          <w:sz w:val="32"/>
          <w:szCs w:val="32"/>
        </w:rPr>
      </w:pPr>
    </w:p>
    <w:p>
      <w:pPr>
        <w:pStyle w:val="4"/>
        <w:rPr>
          <w:rFonts w:hint="default" w:cs="仿宋_GB2312"/>
          <w:sz w:val="32"/>
          <w:szCs w:val="32"/>
          <w:lang w:val="en-US" w:eastAsia="zh-CN"/>
        </w:rPr>
      </w:pPr>
    </w:p>
    <w:sectPr>
      <w:pgSz w:w="11906" w:h="16838"/>
      <w:pgMar w:top="1814" w:right="1588" w:bottom="1701" w:left="1588"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8A41C4-3742-481F-867E-CEDEE0B5B5DB}"/>
  </w:font>
  <w:font w:name="黑体">
    <w:panose1 w:val="02010600030101010101"/>
    <w:charset w:val="86"/>
    <w:family w:val="auto"/>
    <w:pitch w:val="default"/>
    <w:sig w:usb0="800002BF" w:usb1="38CF7CFA" w:usb2="00000016" w:usb3="00000000" w:csb0="00040001" w:csb1="00000000"/>
    <w:embedRegular r:id="rId2" w:fontKey="{409630D4-BEBD-4040-A322-3C863F7C7D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ADD297CF-5353-42FE-A969-18108281B805}"/>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embedRegular r:id="rId4" w:fontKey="{3B4564D6-878F-4BF1-9053-F0CA5BFC50ED}"/>
  </w:font>
  <w:font w:name="仿宋_GB2312">
    <w:panose1 w:val="02010609030101010101"/>
    <w:charset w:val="86"/>
    <w:family w:val="modern"/>
    <w:pitch w:val="default"/>
    <w:sig w:usb0="00000001" w:usb1="080E0000" w:usb2="00000000" w:usb3="00000000" w:csb0="00040000" w:csb1="00000000"/>
    <w:embedRegular r:id="rId5" w:fontKey="{51D2AFE3-5AB3-4A2D-A1E7-E77F62EDF462}"/>
  </w:font>
  <w:font w:name="WXFS">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文星仿宋">
    <w:panose1 w:val="02010609000101010101"/>
    <w:charset w:val="86"/>
    <w:family w:val="modern"/>
    <w:pitch w:val="default"/>
    <w:sig w:usb0="00000001" w:usb1="080E0000" w:usb2="00000000" w:usb3="00000000" w:csb0="00040000" w:csb1="00000000"/>
    <w:embedRegular r:id="rId6" w:fontKey="{86097D21-A610-432A-AB99-3E87C5BB98CC}"/>
  </w:font>
  <w:font w:name="楷体_GB2312">
    <w:panose1 w:val="02010609030101010101"/>
    <w:charset w:val="86"/>
    <w:family w:val="modern"/>
    <w:pitch w:val="default"/>
    <w:sig w:usb0="00000001" w:usb1="080E0000" w:usb2="00000000" w:usb3="00000000" w:csb0="00040000" w:csb1="00000000"/>
    <w:embedRegular r:id="rId7" w:fontKey="{4D773019-5E2F-413F-BDD0-6E2F302B9938}"/>
  </w:font>
  <w:font w:name="方正小标宋_GBK">
    <w:panose1 w:val="02000000000000000000"/>
    <w:charset w:val="86"/>
    <w:family w:val="auto"/>
    <w:pitch w:val="default"/>
    <w:sig w:usb0="A00002BF" w:usb1="38CF7CFA" w:usb2="00082016" w:usb3="00000000" w:csb0="00040001" w:csb1="00000000"/>
    <w:embedRegular r:id="rId8" w:fontKey="{DC80537B-2614-4836-AA67-C3319FF15D75}"/>
  </w:font>
  <w:font w:name="仿宋">
    <w:panose1 w:val="02010609060101010101"/>
    <w:charset w:val="86"/>
    <w:family w:val="auto"/>
    <w:pitch w:val="default"/>
    <w:sig w:usb0="800002BF" w:usb1="38CF7CFA" w:usb2="00000016" w:usb3="00000000" w:csb0="00040001" w:csb1="00000000"/>
    <w:embedRegular r:id="rId9" w:fontKey="{308D7E89-98BF-4E09-8D90-A7E6DA586449}"/>
  </w:font>
  <w:font w:name="文星标宋">
    <w:panose1 w:val="02010609000101010101"/>
    <w:charset w:val="86"/>
    <w:family w:val="modern"/>
    <w:pitch w:val="default"/>
    <w:sig w:usb0="00000001" w:usb1="080E0000" w:usb2="00000000" w:usb3="00000000" w:csb0="00040000" w:csb1="00000000"/>
    <w:embedRegular r:id="rId10" w:fontKey="{54553894-CB84-4BFC-8616-049C47EA3EBD}"/>
  </w:font>
  <w:font w:name="方正粗黑宋简体">
    <w:panose1 w:val="02000000000000000000"/>
    <w:charset w:val="86"/>
    <w:family w:val="auto"/>
    <w:pitch w:val="default"/>
    <w:sig w:usb0="A00002BF" w:usb1="184F6CFA" w:usb2="00000012" w:usb3="00000000" w:csb0="00040001" w:csb1="00000000"/>
    <w:embedRegular r:id="rId11" w:fontKey="{1A60188D-DEBC-438E-960C-2D81C8B0C799}"/>
  </w:font>
  <w:font w:name="文星楷体">
    <w:panose1 w:val="02010609000101010101"/>
    <w:charset w:val="86"/>
    <w:family w:val="auto"/>
    <w:pitch w:val="default"/>
    <w:sig w:usb0="00000001" w:usb1="080E0000" w:usb2="00000000" w:usb3="00000000" w:csb0="00040000" w:csb1="00000000"/>
    <w:embedRegular r:id="rId12" w:fontKey="{C41F07F5-B7A0-45A3-8103-94B58DA6AAD1}"/>
  </w:font>
  <w:font w:name="微软雅黑">
    <w:panose1 w:val="020B0503020204020204"/>
    <w:charset w:val="86"/>
    <w:family w:val="auto"/>
    <w:pitch w:val="default"/>
    <w:sig w:usb0="80000287" w:usb1="2ACF3C50" w:usb2="00000016" w:usb3="00000000" w:csb0="0004001F" w:csb1="00000000"/>
    <w:embedRegular r:id="rId13" w:fontKey="{99C73DFA-3EFE-47C3-8AA3-5EAFE41C1DB5}"/>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heme="minorEastAsia" w:hAnsiTheme="minorEastAsia"/>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757485"/>
                            <w:docPartObj>
                              <w:docPartGallery w:val="autotext"/>
                            </w:docPartObj>
                          </w:sdtPr>
                          <w:sdtEndPr>
                            <w:rPr>
                              <w:rFonts w:asciiTheme="minorEastAsia" w:hAnsiTheme="minorEastAsia"/>
                              <w:sz w:val="24"/>
                              <w:szCs w:val="24"/>
                            </w:rPr>
                          </w:sdtEndPr>
                          <w:sdtContent>
                            <w:p>
                              <w:pPr>
                                <w:pStyle w:val="6"/>
                                <w:jc w:val="center"/>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PAGE   \* MERGEFORMAT </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6 -</w:t>
                              </w:r>
                              <w:r>
                                <w:rPr>
                                  <w:rFonts w:asciiTheme="minorEastAsia" w:hAnsiTheme="minorEastAsia"/>
                                  <w:sz w:val="24"/>
                                  <w:szCs w:val="24"/>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sdt>
                    <w:sdtPr>
                      <w:id w:val="4757485"/>
                      <w:docPartObj>
                        <w:docPartGallery w:val="autotext"/>
                      </w:docPartObj>
                    </w:sdtPr>
                    <w:sdtEndPr>
                      <w:rPr>
                        <w:rFonts w:asciiTheme="minorEastAsia" w:hAnsiTheme="minorEastAsia"/>
                        <w:sz w:val="24"/>
                        <w:szCs w:val="24"/>
                      </w:rPr>
                    </w:sdtEndPr>
                    <w:sdtContent>
                      <w:p>
                        <w:pPr>
                          <w:pStyle w:val="6"/>
                          <w:jc w:val="center"/>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PAGE   \* MERGEFORMAT </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6 -</w:t>
                        </w:r>
                        <w:r>
                          <w:rPr>
                            <w:rFonts w:asciiTheme="minorEastAsia" w:hAnsiTheme="minorEastAsia"/>
                            <w:sz w:val="24"/>
                            <w:szCs w:val="24"/>
                          </w:rPr>
                          <w:fldChar w:fldCharType="end"/>
                        </w:r>
                      </w:p>
                    </w:sdtContent>
                  </w:sdt>
                  <w:p>
                    <w:pPr>
                      <w:pStyle w:val="2"/>
                    </w:pPr>
                  </w:p>
                </w:txbxContent>
              </v:textbox>
            </v:shape>
          </w:pict>
        </mc:Fallback>
      </mc:AlternateContent>
    </w:r>
  </w:p>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仿宋_GB2312"/>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仿宋_GB2312"/>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仿宋_GB2312"/>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- 2 -</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仿宋_GB2312"/>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- 2 -</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cs="仿宋_GB2312"/>
                              <w:sz w:val="24"/>
                            </w:rPr>
                          </w:pPr>
                          <w:r>
                            <w:rPr>
                              <w:rFonts w:hint="eastAsia" w:ascii="宋体" w:hAnsi="宋体" w:cs="仿宋_GB2312"/>
                              <w:sz w:val="24"/>
                            </w:rPr>
                            <w:fldChar w:fldCharType="begin"/>
                          </w:r>
                          <w:r>
                            <w:rPr>
                              <w:rFonts w:hint="eastAsia" w:ascii="宋体" w:hAnsi="宋体" w:cs="仿宋_GB2312"/>
                              <w:sz w:val="24"/>
                            </w:rPr>
                            <w:instrText xml:space="preserve"> PAGE  \* MERGEFORMAT </w:instrText>
                          </w:r>
                          <w:r>
                            <w:rPr>
                              <w:rFonts w:hint="eastAsia" w:ascii="宋体" w:hAnsi="宋体" w:cs="仿宋_GB2312"/>
                              <w:sz w:val="24"/>
                            </w:rPr>
                            <w:fldChar w:fldCharType="separate"/>
                          </w:r>
                          <w:r>
                            <w:rPr>
                              <w:rFonts w:ascii="宋体" w:hAnsi="宋体" w:cs="仿宋_GB2312"/>
                              <w:sz w:val="24"/>
                            </w:rPr>
                            <w:t>- 315 -</w:t>
                          </w:r>
                          <w:r>
                            <w:rPr>
                              <w:rFonts w:hint="eastAsia" w:ascii="宋体" w:hAnsi="宋体" w:cs="仿宋_GB2312"/>
                              <w:sz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cs="仿宋_GB2312"/>
                        <w:sz w:val="24"/>
                      </w:rPr>
                    </w:pPr>
                    <w:r>
                      <w:rPr>
                        <w:rFonts w:hint="eastAsia" w:ascii="宋体" w:hAnsi="宋体" w:cs="仿宋_GB2312"/>
                        <w:sz w:val="24"/>
                      </w:rPr>
                      <w:fldChar w:fldCharType="begin"/>
                    </w:r>
                    <w:r>
                      <w:rPr>
                        <w:rFonts w:hint="eastAsia" w:ascii="宋体" w:hAnsi="宋体" w:cs="仿宋_GB2312"/>
                        <w:sz w:val="24"/>
                      </w:rPr>
                      <w:instrText xml:space="preserve"> PAGE  \* MERGEFORMAT </w:instrText>
                    </w:r>
                    <w:r>
                      <w:rPr>
                        <w:rFonts w:hint="eastAsia" w:ascii="宋体" w:hAnsi="宋体" w:cs="仿宋_GB2312"/>
                        <w:sz w:val="24"/>
                      </w:rPr>
                      <w:fldChar w:fldCharType="separate"/>
                    </w:r>
                    <w:r>
                      <w:rPr>
                        <w:rFonts w:ascii="宋体" w:hAnsi="宋体" w:cs="仿宋_GB2312"/>
                        <w:sz w:val="24"/>
                      </w:rPr>
                      <w:t>- 315 -</w:t>
                    </w:r>
                    <w:r>
                      <w:rPr>
                        <w:rFonts w:hint="eastAsia" w:ascii="宋体" w:hAnsi="宋体" w:cs="仿宋_GB2312"/>
                        <w:sz w:val="24"/>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cs="Arial"/>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文星仿宋" w:hAnsi="文星仿宋" w:eastAsia="文星仿宋" w:cs="文星仿宋"/>
                              <w:sz w:val="24"/>
                              <w:szCs w:val="24"/>
                            </w:rPr>
                          </w:pPr>
                          <w:r>
                            <w:rPr>
                              <w:rFonts w:hint="eastAsia" w:ascii="文星仿宋" w:hAnsi="文星仿宋" w:eastAsia="文星仿宋" w:cs="文星仿宋"/>
                              <w:sz w:val="24"/>
                              <w:szCs w:val="24"/>
                            </w:rPr>
                            <w:t>—</w:t>
                          </w: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 PAGE  \* MERGEFORMAT </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rPr>
                            <w:t>1</w:t>
                          </w:r>
                          <w:r>
                            <w:rPr>
                              <w:rFonts w:hint="eastAsia" w:ascii="文星仿宋" w:hAnsi="文星仿宋" w:eastAsia="文星仿宋" w:cs="文星仿宋"/>
                              <w:sz w:val="24"/>
                              <w:szCs w:val="24"/>
                            </w:rPr>
                            <w:fldChar w:fldCharType="end"/>
                          </w:r>
                          <w:r>
                            <w:rPr>
                              <w:rFonts w:hint="eastAsia" w:ascii="文星仿宋" w:hAnsi="文星仿宋" w:eastAsia="文星仿宋" w:cs="文星仿宋"/>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文星仿宋" w:hAnsi="文星仿宋" w:eastAsia="文星仿宋" w:cs="文星仿宋"/>
                        <w:sz w:val="24"/>
                        <w:szCs w:val="24"/>
                      </w:rPr>
                    </w:pPr>
                    <w:r>
                      <w:rPr>
                        <w:rFonts w:hint="eastAsia" w:ascii="文星仿宋" w:hAnsi="文星仿宋" w:eastAsia="文星仿宋" w:cs="文星仿宋"/>
                        <w:sz w:val="24"/>
                        <w:szCs w:val="24"/>
                      </w:rPr>
                      <w:t>—</w:t>
                    </w: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 PAGE  \* MERGEFORMAT </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rPr>
                      <w:t>1</w:t>
                    </w:r>
                    <w:r>
                      <w:rPr>
                        <w:rFonts w:hint="eastAsia" w:ascii="文星仿宋" w:hAnsi="文星仿宋" w:eastAsia="文星仿宋" w:cs="文星仿宋"/>
                        <w:sz w:val="24"/>
                        <w:szCs w:val="24"/>
                      </w:rPr>
                      <w:fldChar w:fldCharType="end"/>
                    </w:r>
                    <w:r>
                      <w:rPr>
                        <w:rFonts w:hint="eastAsia" w:ascii="文星仿宋" w:hAnsi="文星仿宋" w:eastAsia="文星仿宋" w:cs="文星仿宋"/>
                        <w:sz w:val="24"/>
                        <w:szCs w:val="24"/>
                      </w:rPr>
                      <w:t xml:space="preserve"> —</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cs="宋体"/>
                              <w:sz w:val="28"/>
                              <w:szCs w:val="28"/>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2QtMkBAACb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jLZC0yQEAAJsDAAAOAAAAAAAAAAEAIAAAAB4BAABkcnMvZTJvRG9j&#10;LnhtbFBLBQYAAAAABgAGAFkBAABZBQAAAAA=&#10;">
              <v:fill on="f" focussize="0,0"/>
              <v:stroke on="f"/>
              <v:imagedata o:title=""/>
              <o:lock v:ext="edit" aspectratio="f"/>
              <v:textbox inset="0mm,0mm,0mm,0mm" style="mso-fit-shape-to-text:t;">
                <w:txbxContent>
                  <w:p>
                    <w:pPr>
                      <w:pStyle w:val="6"/>
                      <w:rPr>
                        <w:rFonts w:hint="eastAsia" w:ascii="宋体" w:hAnsi="宋体" w:cs="宋体"/>
                        <w:sz w:val="28"/>
                        <w:szCs w:val="28"/>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366"/>
        <w:tab w:val="clear" w:pos="4153"/>
      </w:tabs>
      <w:rPr>
        <w:rFonts w:hint="default" w:eastAsiaTheme="minorEastAsia"/>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17245"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81724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64.35pt;mso-position-horizontal:center;mso-position-horizontal-relative:margin;z-index:251662336;mso-width-relative:page;mso-height-relative:page;" filled="f" stroked="f" coordsize="21600,21600" o:gfxdata="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gwqPNQAAAAFAQAADwAAAAAAAAABACAAAAAiAAAAZHJzL2Rvd25yZXYu&#10;eG1sUEsBAhQAFAAAAAgAh07iQGfqVOM4AgAAZAQAAA4AAAAAAAAAAQAgAAAAIwEAAGRycy9lMm9E&#10;b2MueG1sUEsFBgAAAAAGAAYAWQEAAM0FAAAAAA==&#10;">
              <v:fill on="f" focussize="0,0"/>
              <v:stroke on="f" weight="0.5pt"/>
              <v:imagedata o:title=""/>
              <o:lock v:ext="edit" aspectratio="f"/>
              <v:textbox inset="0mm,0mm,0mm,0mm" style="mso-fit-shape-to-text:t;">
                <w:txbxContent>
                  <w:p>
                    <w:pPr>
                      <w:pStyle w:val="6"/>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210" w:rightChars="100" w:firstLine="360"/>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right="210" w:rightChars="100"/>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- 3 -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ind w:right="210" w:rightChars="100"/>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- 3 -</w:t>
                    </w:r>
                    <w:r>
                      <w:rPr>
                        <w:rFonts w:ascii="宋体" w:hAnsi="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rPr>
      <w:t>- 4 -</w:t>
    </w:r>
    <w:r>
      <w:rPr>
        <w:rFonts w:ascii="宋体" w:hAnsi="宋体"/>
        <w:sz w:val="28"/>
        <w:szCs w:val="28"/>
      </w:rPr>
      <w:fldChar w:fldCharType="end"/>
    </w:r>
  </w:p>
  <w:p>
    <w:pPr>
      <w:pStyle w:val="6"/>
      <w:ind w:left="210" w:leftChars="100" w:right="360" w:firstLine="360"/>
      <w:rPr>
        <w:rFonts w:ascii="宋体" w:hAns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- 1 -</w:t>
                          </w:r>
                          <w:r>
                            <w:rPr>
                              <w:rFonts w:hint="eastAsia" w:asciiTheme="minorEastAsia" w:hAnsiTheme="minorEastAsia" w:cstheme="minorEastAsia"/>
                              <w:sz w:val="24"/>
                              <w:szCs w:val="24"/>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T2yWitIBAACiAwAADgAAAAAAAAABACAAAAAfAQAA&#10;ZHJzL2Uyb0RvYy54bWxQSwUGAAAAAAYABgBZAQAAYwUAAAAA&#10;">
              <v:fill on="f" focussize="0,0"/>
              <v:stroke on="f" weight="0.5pt"/>
              <v:imagedata o:title=""/>
              <o:lock v:ext="edit" aspectratio="f"/>
              <v:textbox inset="0mm,0mm,0mm,0mm" style="mso-fit-shape-to-text:t;">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- 1 -</w:t>
                    </w:r>
                    <w:r>
                      <w:rPr>
                        <w:rFonts w:hint="eastAsia" w:asciiTheme="minorEastAsia" w:hAnsiTheme="minorEastAsia" w:cstheme="minorEastAsia"/>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cs="仿宋_GB2312"/>
                              <w:sz w:val="24"/>
                            </w:rPr>
                          </w:pPr>
                          <w:r>
                            <w:rPr>
                              <w:rFonts w:hint="eastAsia" w:ascii="宋体" w:hAnsi="宋体" w:cs="仿宋_GB2312"/>
                              <w:sz w:val="24"/>
                            </w:rPr>
                            <w:fldChar w:fldCharType="begin"/>
                          </w:r>
                          <w:r>
                            <w:rPr>
                              <w:rFonts w:hint="eastAsia" w:ascii="宋体" w:hAnsi="宋体" w:cs="仿宋_GB2312"/>
                              <w:sz w:val="24"/>
                            </w:rPr>
                            <w:instrText xml:space="preserve"> PAGE  \* MERGEFORMAT </w:instrText>
                          </w:r>
                          <w:r>
                            <w:rPr>
                              <w:rFonts w:hint="eastAsia" w:ascii="宋体" w:hAnsi="宋体" w:cs="仿宋_GB2312"/>
                              <w:sz w:val="24"/>
                            </w:rPr>
                            <w:fldChar w:fldCharType="separate"/>
                          </w:r>
                          <w:r>
                            <w:rPr>
                              <w:rFonts w:ascii="宋体" w:hAnsi="宋体" w:cs="仿宋_GB2312"/>
                              <w:sz w:val="24"/>
                            </w:rPr>
                            <w:t>- 315 -</w:t>
                          </w:r>
                          <w:r>
                            <w:rPr>
                              <w:rFonts w:hint="eastAsia" w:ascii="宋体" w:hAnsi="宋体" w:cs="仿宋_GB2312"/>
                              <w:sz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cs="仿宋_GB2312"/>
                        <w:sz w:val="24"/>
                      </w:rPr>
                    </w:pPr>
                    <w:r>
                      <w:rPr>
                        <w:rFonts w:hint="eastAsia" w:ascii="宋体" w:hAnsi="宋体" w:cs="仿宋_GB2312"/>
                        <w:sz w:val="24"/>
                      </w:rPr>
                      <w:fldChar w:fldCharType="begin"/>
                    </w:r>
                    <w:r>
                      <w:rPr>
                        <w:rFonts w:hint="eastAsia" w:ascii="宋体" w:hAnsi="宋体" w:cs="仿宋_GB2312"/>
                        <w:sz w:val="24"/>
                      </w:rPr>
                      <w:instrText xml:space="preserve"> PAGE  \* MERGEFORMAT </w:instrText>
                    </w:r>
                    <w:r>
                      <w:rPr>
                        <w:rFonts w:hint="eastAsia" w:ascii="宋体" w:hAnsi="宋体" w:cs="仿宋_GB2312"/>
                        <w:sz w:val="24"/>
                      </w:rPr>
                      <w:fldChar w:fldCharType="separate"/>
                    </w:r>
                    <w:r>
                      <w:rPr>
                        <w:rFonts w:ascii="宋体" w:hAnsi="宋体" w:cs="仿宋_GB2312"/>
                        <w:sz w:val="24"/>
                      </w:rPr>
                      <w:t>- 315 -</w:t>
                    </w:r>
                    <w:r>
                      <w:rPr>
                        <w:rFonts w:hint="eastAsia" w:ascii="宋体" w:hAnsi="宋体" w:cs="仿宋_GB2312"/>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1080770</wp:posOffset>
              </wp:positionV>
              <wp:extent cx="5166360" cy="0"/>
              <wp:effectExtent l="0" t="0" r="0" b="0"/>
              <wp:wrapNone/>
              <wp:docPr id="7" name="直接箭头连接符 7"/>
              <wp:cNvGraphicFramePr/>
              <a:graphic xmlns:a="http://schemas.openxmlformats.org/drawingml/2006/main">
                <a:graphicData uri="http://schemas.microsoft.com/office/word/2010/wordprocessingShape">
                  <wps:wsp>
                    <wps:cNvCnPr/>
                    <wps:spPr>
                      <a:xfrm>
                        <a:off x="0" y="0"/>
                        <a:ext cx="5166360"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56.7pt;margin-top:85.1pt;height:0pt;width:406.8pt;mso-position-horizontal-relative:page;mso-position-vertical-relative:page;z-index:-251657216;mso-width-relative:page;mso-height-relative:page;" filled="f" stroked="t" coordsize="21600,21600" o:gfxdata="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WgwnWAAAACwEAAA8AAAAAAAAAAQAgAAAAIgAAAGRycy9k&#10;b3ducmV2LnhtbFBLAQIUABQAAAAIAIdO4kDWKPBMywEAAHgDAAAOAAAAAAAAAAEAIAAAACUBAABk&#10;cnMvZTJvRG9jLnhtbFBLBQYAAAAABgAGAFkBAABiBQAAAAA=&#10;">
              <v:fill on="f" focussize="0,0"/>
              <v:stroke weight="1pt" color="#FFFFFF" joinstyle="round"/>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1080770</wp:posOffset>
              </wp:positionV>
              <wp:extent cx="5166360" cy="0"/>
              <wp:effectExtent l="0" t="0" r="0" b="0"/>
              <wp:wrapNone/>
              <wp:docPr id="10" name="直接箭头连接符 10"/>
              <wp:cNvGraphicFramePr/>
              <a:graphic xmlns:a="http://schemas.openxmlformats.org/drawingml/2006/main">
                <a:graphicData uri="http://schemas.microsoft.com/office/word/2010/wordprocessingShape">
                  <wps:wsp>
                    <wps:cNvCnPr/>
                    <wps:spPr>
                      <a:xfrm>
                        <a:off x="0" y="0"/>
                        <a:ext cx="5166360"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56.7pt;margin-top:85.1pt;height:0pt;width:406.8pt;mso-position-horizontal-relative:page;mso-position-vertical-relative:page;z-index:-251657216;mso-width-relative:page;mso-height-relative:page;" filled="f" stroked="t" coordsize="21600,21600" o:gfxdata="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y1oMJ1gAAAAsBAAAPAAAAAAAAAAEAIAAAACIAAABkcnMv&#10;ZG93bnJldi54bWxQSwECFAAUAAAACACHTuJAT4jQu8wBAAB6AwAADgAAAAAAAAABACAAAAAlAQAA&#10;ZHJzL2Uyb0RvYy54bWxQSwUGAAAAAAYABgBZAQAAYwUAAAAA&#10;">
              <v:fill on="f" focussize="0,0"/>
              <v:stroke weight="1pt" color="#FFFFFF" joinstyle="round"/>
              <v:imagedata o:title=""/>
              <o:lock v:ext="edit" aspectratio="f"/>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MGIyYzJiNDczMzRjNDc2NTkwZDM4N2ZiMjQxNDIifQ=="/>
  </w:docVars>
  <w:rsids>
    <w:rsidRoot w:val="2AF47508"/>
    <w:rsid w:val="11D44D6F"/>
    <w:rsid w:val="23AC3027"/>
    <w:rsid w:val="26E24E21"/>
    <w:rsid w:val="34EE2EEC"/>
    <w:rsid w:val="4ADD7E39"/>
    <w:rsid w:val="4B356D10"/>
    <w:rsid w:val="66901A6D"/>
    <w:rsid w:val="67D00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Lines="0" w:beforeAutospacing="0" w:afterLines="0" w:afterAutospacing="0" w:line="560" w:lineRule="exact"/>
      <w:jc w:val="center"/>
      <w:outlineLvl w:val="0"/>
    </w:pPr>
    <w:rPr>
      <w:rFonts w:ascii="Tahoma" w:hAnsi="Tahoma" w:eastAsia="方正小标宋简体" w:cs="Times New Roman"/>
      <w:kern w:val="44"/>
      <w:sz w:val="44"/>
      <w:szCs w:val="22"/>
    </w:rPr>
  </w:style>
  <w:style w:type="paragraph" w:styleId="2">
    <w:name w:val="heading 3"/>
    <w:basedOn w:val="1"/>
    <w:next w:val="1"/>
    <w:autoRedefine/>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_GB2312" w:hAnsi="仿宋_GB2312" w:eastAsia="仿宋_GB2312" w:cs="仿宋_GB2312"/>
      <w:sz w:val="32"/>
      <w:szCs w:val="32"/>
      <w:lang w:val="zh-CN" w:eastAsia="zh-CN" w:bidi="zh-CN"/>
    </w:rPr>
  </w:style>
  <w:style w:type="paragraph" w:styleId="5">
    <w:name w:val="Body Text Indent"/>
    <w:basedOn w:val="1"/>
    <w:autoRedefine/>
    <w:qFormat/>
    <w:uiPriority w:val="99"/>
    <w:pPr>
      <w:spacing w:after="120"/>
      <w:ind w:left="420" w:leftChars="200"/>
    </w:p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rPr>
      <w:sz w:val="24"/>
    </w:rPr>
  </w:style>
  <w:style w:type="paragraph" w:styleId="9">
    <w:name w:val="Body Text First Indent 2"/>
    <w:basedOn w:val="5"/>
    <w:autoRedefine/>
    <w:qFormat/>
    <w:uiPriority w:val="99"/>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uiPriority w:val="0"/>
    <w:rPr>
      <w:b/>
    </w:rPr>
  </w:style>
  <w:style w:type="character" w:styleId="14">
    <w:name w:val="page number"/>
    <w:basedOn w:val="12"/>
    <w:autoRedefine/>
    <w:qFormat/>
    <w:uiPriority w:val="0"/>
  </w:style>
  <w:style w:type="paragraph" w:styleId="15">
    <w:name w:val="List Paragraph"/>
    <w:basedOn w:val="1"/>
    <w:autoRedefine/>
    <w:qFormat/>
    <w:uiPriority w:val="0"/>
    <w:pPr>
      <w:ind w:firstLine="420" w:firstLineChars="200"/>
    </w:pPr>
    <w:rPr>
      <w:rFonts w:eastAsia="仿宋_GB2312"/>
      <w:sz w:val="28"/>
      <w:szCs w:val="22"/>
    </w:rPr>
  </w:style>
  <w:style w:type="character" w:customStyle="1" w:styleId="16">
    <w:name w:val="NormalCharacter"/>
    <w:link w:val="17"/>
    <w:autoRedefine/>
    <w:semiHidden/>
    <w:qFormat/>
    <w:locked/>
    <w:uiPriority w:val="0"/>
    <w:rPr>
      <w:rFonts w:ascii="Times New Roman" w:hAnsi="Times New Roman"/>
      <w:kern w:val="0"/>
      <w:szCs w:val="21"/>
    </w:rPr>
  </w:style>
  <w:style w:type="paragraph" w:customStyle="1" w:styleId="17">
    <w:name w:val="UserStyle_0"/>
    <w:basedOn w:val="1"/>
    <w:link w:val="16"/>
    <w:autoRedefine/>
    <w:qFormat/>
    <w:uiPriority w:val="0"/>
    <w:pPr>
      <w:widowControl/>
      <w:textAlignment w:val="baseline"/>
    </w:pPr>
    <w:rPr>
      <w:rFonts w:ascii="Times New Roman" w:hAnsi="Times New Roman"/>
      <w:kern w:val="0"/>
      <w:szCs w:val="21"/>
    </w:rPr>
  </w:style>
  <w:style w:type="character" w:customStyle="1" w:styleId="18">
    <w:name w:val="fontstyle21"/>
    <w:basedOn w:val="12"/>
    <w:autoRedefine/>
    <w:qFormat/>
    <w:uiPriority w:val="0"/>
    <w:rPr>
      <w:rFonts w:ascii="WXFS" w:hAnsi="WXFS" w:eastAsia="WXFS" w:cs="WXFS"/>
      <w:color w:val="000000"/>
      <w:sz w:val="32"/>
      <w:szCs w:val="32"/>
    </w:rPr>
  </w:style>
  <w:style w:type="character" w:customStyle="1" w:styleId="19">
    <w:name w:val="font91"/>
    <w:basedOn w:val="12"/>
    <w:autoRedefine/>
    <w:uiPriority w:val="0"/>
    <w:rPr>
      <w:rFonts w:hint="default" w:ascii="Times New Roman" w:hAnsi="Times New Roman" w:cs="Times New Roman"/>
      <w:color w:val="000000"/>
      <w:sz w:val="44"/>
      <w:szCs w:val="44"/>
      <w:u w:val="none"/>
    </w:rPr>
  </w:style>
  <w:style w:type="character" w:customStyle="1" w:styleId="20">
    <w:name w:val="font121"/>
    <w:basedOn w:val="12"/>
    <w:autoRedefine/>
    <w:qFormat/>
    <w:uiPriority w:val="0"/>
    <w:rPr>
      <w:rFonts w:ascii="方正小标宋简体" w:hAnsi="方正小标宋简体" w:eastAsia="方正小标宋简体" w:cs="方正小标宋简体"/>
      <w:color w:val="000000"/>
      <w:sz w:val="44"/>
      <w:szCs w:val="44"/>
      <w:u w:val="none"/>
    </w:rPr>
  </w:style>
  <w:style w:type="character" w:customStyle="1" w:styleId="21">
    <w:name w:val="font131"/>
    <w:basedOn w:val="12"/>
    <w:autoRedefine/>
    <w:qFormat/>
    <w:uiPriority w:val="0"/>
    <w:rPr>
      <w:rFonts w:hint="eastAsia" w:ascii="黑体" w:hAnsi="宋体" w:eastAsia="黑体" w:cs="黑体"/>
      <w:color w:val="000000"/>
      <w:sz w:val="24"/>
      <w:szCs w:val="24"/>
      <w:u w:val="none"/>
    </w:rPr>
  </w:style>
  <w:style w:type="character" w:customStyle="1" w:styleId="22">
    <w:name w:val="font51"/>
    <w:basedOn w:val="12"/>
    <w:autoRedefine/>
    <w:qFormat/>
    <w:uiPriority w:val="0"/>
    <w:rPr>
      <w:rFonts w:hint="eastAsia" w:ascii="黑体" w:hAnsi="宋体" w:eastAsia="黑体" w:cs="黑体"/>
      <w:color w:val="000000"/>
      <w:sz w:val="24"/>
      <w:szCs w:val="24"/>
      <w:u w:val="none"/>
    </w:rPr>
  </w:style>
  <w:style w:type="character" w:customStyle="1" w:styleId="23">
    <w:name w:val="font141"/>
    <w:basedOn w:val="12"/>
    <w:autoRedefine/>
    <w:qFormat/>
    <w:uiPriority w:val="0"/>
    <w:rPr>
      <w:rFonts w:ascii="仿宋_GB2312" w:eastAsia="仿宋_GB2312" w:cs="仿宋_GB2312"/>
      <w:color w:val="000000"/>
      <w:sz w:val="24"/>
      <w:szCs w:val="24"/>
      <w:u w:val="none"/>
    </w:rPr>
  </w:style>
  <w:style w:type="character" w:customStyle="1" w:styleId="24">
    <w:name w:val="font151"/>
    <w:basedOn w:val="12"/>
    <w:autoRedefine/>
    <w:qFormat/>
    <w:uiPriority w:val="0"/>
    <w:rPr>
      <w:rFonts w:hint="eastAsia" w:ascii="仿宋_GB2312" w:eastAsia="仿宋_GB2312" w:cs="仿宋_GB2312"/>
      <w:color w:val="000000"/>
      <w:sz w:val="20"/>
      <w:szCs w:val="20"/>
      <w:u w:val="none"/>
    </w:rPr>
  </w:style>
  <w:style w:type="character" w:customStyle="1" w:styleId="25">
    <w:name w:val="font81"/>
    <w:basedOn w:val="12"/>
    <w:autoRedefine/>
    <w:qFormat/>
    <w:uiPriority w:val="0"/>
    <w:rPr>
      <w:rFonts w:hint="default" w:ascii="Times New Roman" w:hAnsi="Times New Roman" w:cs="Times New Roman"/>
      <w:color w:val="000000"/>
      <w:sz w:val="20"/>
      <w:szCs w:val="20"/>
      <w:u w:val="none"/>
    </w:rPr>
  </w:style>
  <w:style w:type="character" w:customStyle="1" w:styleId="26">
    <w:name w:val="font21"/>
    <w:basedOn w:val="12"/>
    <w:autoRedefine/>
    <w:qFormat/>
    <w:uiPriority w:val="0"/>
    <w:rPr>
      <w:rFonts w:hint="default" w:ascii="Times New Roman" w:hAnsi="Times New Roman" w:cs="Times New Roman"/>
      <w:color w:val="000000"/>
      <w:sz w:val="24"/>
      <w:szCs w:val="24"/>
      <w:u w:val="none"/>
    </w:rPr>
  </w:style>
  <w:style w:type="character" w:customStyle="1" w:styleId="27">
    <w:name w:val="font61"/>
    <w:basedOn w:val="12"/>
    <w:autoRedefine/>
    <w:qFormat/>
    <w:uiPriority w:val="0"/>
    <w:rPr>
      <w:rFonts w:hint="eastAsia" w:ascii="黑体" w:hAnsi="宋体" w:eastAsia="黑体" w:cs="黑体"/>
      <w:color w:val="000000"/>
      <w:sz w:val="22"/>
      <w:szCs w:val="22"/>
      <w:u w:val="none"/>
    </w:rPr>
  </w:style>
  <w:style w:type="character" w:customStyle="1" w:styleId="28">
    <w:name w:val="font101"/>
    <w:basedOn w:val="12"/>
    <w:autoRedefine/>
    <w:qFormat/>
    <w:uiPriority w:val="0"/>
    <w:rPr>
      <w:rFonts w:ascii="方正小标宋简体" w:hAnsi="方正小标宋简体" w:eastAsia="方正小标宋简体" w:cs="方正小标宋简体"/>
      <w:color w:val="000000"/>
      <w:sz w:val="36"/>
      <w:szCs w:val="36"/>
      <w:u w:val="none"/>
    </w:rPr>
  </w:style>
  <w:style w:type="character" w:customStyle="1" w:styleId="29">
    <w:name w:val="font71"/>
    <w:basedOn w:val="12"/>
    <w:autoRedefine/>
    <w:qFormat/>
    <w:uiPriority w:val="0"/>
    <w:rPr>
      <w:rFonts w:hint="eastAsia" w:ascii="黑体" w:hAnsi="宋体" w:eastAsia="黑体" w:cs="黑体"/>
      <w:color w:val="000000"/>
      <w:sz w:val="24"/>
      <w:szCs w:val="24"/>
      <w:u w:val="none"/>
    </w:rPr>
  </w:style>
  <w:style w:type="character" w:customStyle="1" w:styleId="30">
    <w:name w:val="font41"/>
    <w:basedOn w:val="12"/>
    <w:autoRedefine/>
    <w:qFormat/>
    <w:uiPriority w:val="0"/>
    <w:rPr>
      <w:rFonts w:ascii="黑体" w:hAnsi="宋体" w:eastAsia="黑体" w:cs="黑体"/>
      <w:color w:val="000000"/>
      <w:sz w:val="28"/>
      <w:szCs w:val="28"/>
      <w:u w:val="none"/>
    </w:rPr>
  </w:style>
  <w:style w:type="character" w:customStyle="1" w:styleId="31">
    <w:name w:val="font112"/>
    <w:basedOn w:val="12"/>
    <w:autoRedefine/>
    <w:qFormat/>
    <w:uiPriority w:val="0"/>
    <w:rPr>
      <w:rFonts w:hint="eastAsia" w:ascii="仿宋_GB2312" w:eastAsia="仿宋_GB2312" w:cs="仿宋_GB2312"/>
      <w:color w:val="000000"/>
      <w:sz w:val="20"/>
      <w:szCs w:val="20"/>
      <w:u w:val="none"/>
    </w:rPr>
  </w:style>
  <w:style w:type="character" w:customStyle="1" w:styleId="32">
    <w:name w:val="font31"/>
    <w:basedOn w:val="12"/>
    <w:autoRedefine/>
    <w:qFormat/>
    <w:uiPriority w:val="0"/>
    <w:rPr>
      <w:rFonts w:hint="default" w:ascii="Times New Roman" w:hAnsi="Times New Roman" w:cs="Times New Roman"/>
      <w:color w:val="000000"/>
      <w:sz w:val="20"/>
      <w:szCs w:val="20"/>
      <w:u w:val="none"/>
    </w:rPr>
  </w:style>
  <w:style w:type="paragraph" w:customStyle="1" w:styleId="33">
    <w:name w:val="Table Paragraph"/>
    <w:basedOn w:val="1"/>
    <w:autoRedefine/>
    <w:qFormat/>
    <w:uiPriority w:val="1"/>
    <w:rPr>
      <w:rFonts w:ascii="仿宋_GB2312" w:hAnsi="仿宋_GB2312" w:eastAsia="仿宋_GB2312" w:cs="仿宋_GB2312"/>
      <w:lang w:val="en-US" w:eastAsia="zh-CN" w:bidi="ar-SA"/>
    </w:rPr>
  </w:style>
  <w:style w:type="paragraph" w:customStyle="1" w:styleId="34">
    <w:name w:val="Body Text First Indent1"/>
    <w:basedOn w:val="4"/>
    <w:qFormat/>
    <w:uiPriority w:val="0"/>
    <w:pPr>
      <w:widowControl w:val="0"/>
      <w:spacing w:after="200" w:afterLines="0" w:line="276" w:lineRule="auto"/>
      <w:ind w:left="120" w:firstLine="420" w:firstLineChars="100"/>
      <w:jc w:val="both"/>
    </w:pPr>
    <w:rPr>
      <w:rFonts w:ascii="Arial Unicode MS" w:hAnsi="Arial Unicode MS" w:eastAsia="Arial Unicode MS" w:cs="Arial Unicode MS"/>
      <w:kern w:val="2"/>
      <w:sz w:val="30"/>
      <w:szCs w:val="30"/>
      <w:lang w:val="zh-CN" w:eastAsia="zh-CN"/>
    </w:rPr>
  </w:style>
  <w:style w:type="paragraph" w:customStyle="1" w:styleId="35">
    <w:name w:val="Normal (Web)"/>
    <w:basedOn w:val="1"/>
    <w:next w:val="1"/>
    <w:qFormat/>
    <w:uiPriority w:val="0"/>
    <w:pPr>
      <w:spacing w:before="100" w:beforeLines="0" w:beforeAutospacing="1" w:after="100" w:afterLines="0"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2.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263</Pages>
  <Words>98672</Words>
  <Characters>103028</Characters>
  <Lines>0</Lines>
  <Paragraphs>0</Paragraphs>
  <TotalTime>5</TotalTime>
  <ScaleCrop>false</ScaleCrop>
  <LinksUpToDate>false</LinksUpToDate>
  <CharactersWithSpaces>105525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2021-10-11T01:12:00Z</dcterms:created>
  <dc:creator>吴迪</dc:creator>
  <cp:lastModifiedBy>王紫莹</cp:lastModifiedBy>
  <dcterms:modified xsi:type="dcterms:W3CDTF">2024-03-20T01:48:51Z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39AE3CA5EB90486DB5F4CBD28DFC6454_13</vt:lpwstr>
  </property>
</Properties>
</file>